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B9" w:rsidRPr="005676DB" w:rsidRDefault="00C847B9" w:rsidP="00C847B9">
      <w:pPr>
        <w:spacing w:after="160" w:line="259" w:lineRule="auto"/>
        <w:rPr>
          <w:rFonts w:ascii="Arial" w:hAnsi="Arial" w:cs="Arial"/>
        </w:rPr>
      </w:pPr>
      <w:bookmarkStart w:id="0" w:name="_Toc505859080"/>
    </w:p>
    <w:p w:rsidR="00C847B9" w:rsidRPr="005676DB" w:rsidRDefault="00C847B9" w:rsidP="00C847B9">
      <w:pPr>
        <w:spacing w:after="160" w:line="259" w:lineRule="auto"/>
        <w:rPr>
          <w:rFonts w:ascii="Arial" w:hAnsi="Arial" w:cs="Arial"/>
        </w:rPr>
      </w:pPr>
    </w:p>
    <w:p w:rsidR="00C847B9" w:rsidRPr="005676DB" w:rsidRDefault="00C847B9" w:rsidP="00C847B9">
      <w:pPr>
        <w:spacing w:after="160" w:line="259" w:lineRule="auto"/>
        <w:rPr>
          <w:rFonts w:ascii="Arial" w:hAnsi="Arial" w:cs="Arial"/>
        </w:rPr>
      </w:pPr>
    </w:p>
    <w:p w:rsidR="00C847B9" w:rsidRPr="005676DB" w:rsidRDefault="00C847B9" w:rsidP="00C847B9">
      <w:pPr>
        <w:spacing w:after="160" w:line="259" w:lineRule="auto"/>
        <w:rPr>
          <w:rFonts w:ascii="Arial" w:hAnsi="Arial" w:cs="Arial"/>
        </w:rPr>
      </w:pPr>
    </w:p>
    <w:p w:rsidR="00C847B9" w:rsidRPr="0096165B" w:rsidRDefault="00C847B9" w:rsidP="00515AEA"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265756" w:rsidRPr="00096612" w:rsidRDefault="00265756" w:rsidP="00265756">
      <w:pPr>
        <w:pStyle w:val="TitlePageHeader"/>
        <w:ind w:left="0" w:firstLine="0"/>
        <w:jc w:val="center"/>
        <w:rPr>
          <w:rFonts w:ascii="Arial" w:hAnsi="Arial" w:cs="Arial"/>
        </w:rPr>
      </w:pPr>
      <w:bookmarkStart w:id="1" w:name="_Toc254593899"/>
      <w:bookmarkStart w:id="2" w:name="hp_LogicalHeaderComplete"/>
      <w:bookmarkStart w:id="3" w:name="hp_TitlePage"/>
      <w:r w:rsidRPr="00096612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0" wp14:anchorId="093CDA12" wp14:editId="7E868787">
            <wp:simplePos x="0" y="0"/>
            <wp:positionH relativeFrom="column">
              <wp:posOffset>1727835</wp:posOffset>
            </wp:positionH>
            <wp:positionV relativeFrom="page">
              <wp:posOffset>929005</wp:posOffset>
            </wp:positionV>
            <wp:extent cx="2159635" cy="467995"/>
            <wp:effectExtent l="0" t="0" r="0" b="8255"/>
            <wp:wrapNone/>
            <wp:docPr id="4" name="Obrázek 4" descr="mmr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r_barev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61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bookmarkEnd w:id="1"/>
    <w:p w:rsidR="00265756" w:rsidRPr="00096612" w:rsidRDefault="00265756" w:rsidP="00265756">
      <w:pPr>
        <w:pStyle w:val="TitlePageHeader"/>
        <w:ind w:left="0" w:firstLine="0"/>
        <w:jc w:val="center"/>
        <w:rPr>
          <w:rFonts w:ascii="Arial" w:hAnsi="Arial" w:cs="Arial"/>
        </w:rPr>
      </w:pPr>
    </w:p>
    <w:p w:rsidR="00265756" w:rsidRPr="00096612" w:rsidRDefault="00265756" w:rsidP="00265756">
      <w:pPr>
        <w:pStyle w:val="TitlePageHeader"/>
        <w:ind w:left="0" w:firstLine="0"/>
        <w:jc w:val="center"/>
        <w:rPr>
          <w:rFonts w:ascii="Arial" w:hAnsi="Arial" w:cs="Arial"/>
        </w:rPr>
      </w:pPr>
    </w:p>
    <w:p w:rsidR="00265756" w:rsidRPr="00096612" w:rsidRDefault="00265756" w:rsidP="00265756">
      <w:pPr>
        <w:pStyle w:val="TitlePageHeader"/>
        <w:ind w:left="0" w:firstLine="0"/>
        <w:jc w:val="center"/>
        <w:rPr>
          <w:rFonts w:ascii="Arial" w:hAnsi="Arial" w:cs="Arial"/>
        </w:rPr>
      </w:pPr>
      <w:bookmarkStart w:id="4" w:name="_Toc254593900"/>
      <w:r w:rsidRPr="00096612">
        <w:rPr>
          <w:rFonts w:ascii="Arial" w:hAnsi="Arial" w:cs="Arial"/>
        </w:rPr>
        <w:t>III.</w:t>
      </w:r>
      <w:bookmarkEnd w:id="4"/>
    </w:p>
    <w:p w:rsidR="00265756" w:rsidRPr="00096612" w:rsidRDefault="00265756" w:rsidP="00265756">
      <w:pPr>
        <w:pStyle w:val="TitlePageHeader"/>
        <w:ind w:left="0" w:firstLine="0"/>
        <w:jc w:val="center"/>
        <w:rPr>
          <w:rFonts w:ascii="Arial" w:hAnsi="Arial" w:cs="Arial"/>
        </w:rPr>
      </w:pPr>
    </w:p>
    <w:p w:rsidR="00265756" w:rsidRPr="00096612" w:rsidRDefault="00265756" w:rsidP="00265756">
      <w:pPr>
        <w:pStyle w:val="TitlePageHeader"/>
        <w:ind w:left="0" w:firstLine="0"/>
        <w:jc w:val="center"/>
        <w:rPr>
          <w:rFonts w:ascii="Arial" w:hAnsi="Arial" w:cs="Arial"/>
        </w:rPr>
      </w:pPr>
    </w:p>
    <w:p w:rsidR="00265756" w:rsidRPr="00096612" w:rsidRDefault="00265756" w:rsidP="00265756">
      <w:pPr>
        <w:pStyle w:val="TitlePageHeader"/>
        <w:ind w:left="0" w:firstLine="0"/>
        <w:jc w:val="center"/>
        <w:rPr>
          <w:rFonts w:ascii="Arial" w:hAnsi="Arial" w:cs="Arial"/>
          <w:sz w:val="36"/>
          <w:szCs w:val="36"/>
        </w:rPr>
      </w:pPr>
      <w:bookmarkStart w:id="5" w:name="_Toc254593902"/>
      <w:r w:rsidRPr="00096612">
        <w:rPr>
          <w:rFonts w:ascii="Arial" w:hAnsi="Arial" w:cs="Arial"/>
          <w:sz w:val="36"/>
          <w:szCs w:val="36"/>
        </w:rPr>
        <w:t xml:space="preserve">Zpráva o fungování Národního elektronického nástroje za rok 2019 </w:t>
      </w:r>
    </w:p>
    <w:p w:rsidR="00265756" w:rsidRPr="00096612" w:rsidRDefault="00265756" w:rsidP="00265756">
      <w:pPr>
        <w:pStyle w:val="TitlePageHeader"/>
        <w:ind w:left="0" w:firstLine="0"/>
        <w:jc w:val="center"/>
        <w:rPr>
          <w:rFonts w:ascii="Arial" w:hAnsi="Arial" w:cs="Arial"/>
          <w:sz w:val="36"/>
          <w:szCs w:val="36"/>
        </w:rPr>
      </w:pPr>
    </w:p>
    <w:p w:rsidR="00265756" w:rsidRPr="00096612" w:rsidRDefault="00265756" w:rsidP="00265756">
      <w:pPr>
        <w:pStyle w:val="TitlePageHeader"/>
        <w:ind w:left="0" w:firstLine="0"/>
        <w:jc w:val="center"/>
        <w:rPr>
          <w:rFonts w:ascii="Arial" w:hAnsi="Arial" w:cs="Arial"/>
          <w:sz w:val="36"/>
          <w:szCs w:val="36"/>
        </w:rPr>
      </w:pPr>
    </w:p>
    <w:p w:rsidR="00265756" w:rsidRPr="00096612" w:rsidRDefault="00265756" w:rsidP="00265756">
      <w:pPr>
        <w:pStyle w:val="TitlePageHeader"/>
        <w:ind w:left="0" w:firstLine="0"/>
        <w:jc w:val="center"/>
        <w:rPr>
          <w:rFonts w:ascii="Arial" w:hAnsi="Arial" w:cs="Arial"/>
          <w:b w:val="0"/>
        </w:rPr>
      </w:pPr>
      <w:r w:rsidRPr="00096612">
        <w:rPr>
          <w:rFonts w:ascii="Arial" w:hAnsi="Arial" w:cs="Arial"/>
          <w:b w:val="0"/>
        </w:rPr>
        <w:t>(dále jen „Zpráva“)</w:t>
      </w:r>
      <w:bookmarkEnd w:id="5"/>
    </w:p>
    <w:p w:rsidR="00265756" w:rsidRPr="00096612" w:rsidRDefault="00265756" w:rsidP="00265756">
      <w:pPr>
        <w:pStyle w:val="Normal1"/>
        <w:ind w:left="2836" w:firstLine="22"/>
        <w:rPr>
          <w:rFonts w:ascii="Arial" w:hAnsi="Arial" w:cs="Arial"/>
        </w:rPr>
      </w:pPr>
    </w:p>
    <w:bookmarkEnd w:id="2"/>
    <w:bookmarkEnd w:id="3"/>
    <w:p w:rsidR="00C847B9" w:rsidRPr="00096612" w:rsidRDefault="00C847B9" w:rsidP="00C847B9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:rsidR="00C847B9" w:rsidRPr="00096612" w:rsidRDefault="00C847B9" w:rsidP="00C847B9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:rsidR="00C847B9" w:rsidRPr="00096612" w:rsidRDefault="00C847B9" w:rsidP="00C847B9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:rsidR="00C847B9" w:rsidRPr="00096612" w:rsidRDefault="00C847B9" w:rsidP="00C847B9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:rsidR="00C847B9" w:rsidRPr="00096612" w:rsidRDefault="00C847B9" w:rsidP="00C847B9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:rsidR="00C847B9" w:rsidRPr="00096612" w:rsidRDefault="00C847B9" w:rsidP="00C847B9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:rsidR="00C847B9" w:rsidRPr="00096612" w:rsidRDefault="00C847B9" w:rsidP="00C847B9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:rsidR="00C847B9" w:rsidRPr="00096612" w:rsidRDefault="00C847B9" w:rsidP="00C847B9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:rsidR="00C847B9" w:rsidRPr="00096612" w:rsidRDefault="00C847B9" w:rsidP="00C847B9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sdt>
      <w:sdtP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</w:rPr>
        <w:id w:val="-2116437897"/>
        <w:docPartObj>
          <w:docPartGallery w:val="Table of Contents"/>
          <w:docPartUnique/>
        </w:docPartObj>
      </w:sdtPr>
      <w:sdtEndPr/>
      <w:sdtContent>
        <w:p w:rsidR="00C847B9" w:rsidRPr="00096612" w:rsidRDefault="00C847B9" w:rsidP="00C356F3">
          <w:pPr>
            <w:pStyle w:val="Nadpisobsahu"/>
            <w:tabs>
              <w:tab w:val="left" w:pos="1970"/>
            </w:tabs>
            <w:rPr>
              <w:rFonts w:ascii="Arial" w:hAnsi="Arial" w:cs="Arial"/>
              <w:color w:val="000000" w:themeColor="text1"/>
              <w:sz w:val="24"/>
            </w:rPr>
          </w:pPr>
          <w:r w:rsidRPr="00096612">
            <w:rPr>
              <w:rFonts w:ascii="Arial" w:hAnsi="Arial" w:cs="Arial"/>
              <w:color w:val="000000" w:themeColor="text1"/>
            </w:rPr>
            <w:t>Obsah</w:t>
          </w:r>
          <w:r w:rsidR="00C356F3">
            <w:rPr>
              <w:rFonts w:ascii="Arial" w:hAnsi="Arial" w:cs="Arial"/>
              <w:color w:val="000000" w:themeColor="text1"/>
            </w:rPr>
            <w:tab/>
          </w:r>
        </w:p>
        <w:p w:rsidR="00077E05" w:rsidRDefault="00C847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096612">
            <w:rPr>
              <w:rFonts w:ascii="Arial" w:hAnsi="Arial" w:cs="Arial"/>
              <w:color w:val="000000" w:themeColor="text1"/>
            </w:rPr>
            <w:fldChar w:fldCharType="begin"/>
          </w:r>
          <w:r w:rsidRPr="00096612">
            <w:rPr>
              <w:rFonts w:ascii="Arial" w:hAnsi="Arial" w:cs="Arial"/>
              <w:color w:val="000000" w:themeColor="text1"/>
            </w:rPr>
            <w:instrText xml:space="preserve"> TOC \o "1-3" \h \z \u </w:instrText>
          </w:r>
          <w:r w:rsidRPr="00096612">
            <w:rPr>
              <w:rFonts w:ascii="Arial" w:hAnsi="Arial" w:cs="Arial"/>
              <w:color w:val="000000" w:themeColor="text1"/>
            </w:rPr>
            <w:fldChar w:fldCharType="separate"/>
          </w:r>
          <w:hyperlink w:anchor="_Toc36798592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1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Východiska zpracování zprávy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_Toc36798592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2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593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1.1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Účel ZPRÁVY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_Toc36798593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2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594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2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Manažerské shrnutí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_Toc36798594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3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595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3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správA NEN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_Toc36798595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5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596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3.1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Přehled vykonaných činností Správce NEN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_Toc36798596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5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597" w:history="1">
            <w:r w:rsidR="00077E05" w:rsidRPr="0064629A">
              <w:rPr>
                <w:rStyle w:val="Hypertextovodkaz"/>
                <w:rFonts w:ascii="Arial" w:hAnsi="Arial" w:cs="Arial"/>
                <w:noProof/>
              </w:rPr>
              <w:t>3.1.1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noProof/>
              </w:rPr>
              <w:t>AKTUALIZACE USNESENÍ VLÁDY O ULOŽENÍ POVINNOSTI VYUŽÍVAT NEN PŘI ZADÁVÁNÍ VEŘEJNÝCH ZAKÁZEK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_Toc36798597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5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598" w:history="1">
            <w:r w:rsidR="00077E05" w:rsidRPr="0064629A">
              <w:rPr>
                <w:rStyle w:val="Hypertextovodkaz"/>
                <w:rFonts w:ascii="Arial" w:hAnsi="Arial" w:cs="Arial"/>
                <w:noProof/>
              </w:rPr>
              <w:t>3.1.2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noProof/>
              </w:rPr>
              <w:t>AKTUALIZACE SYSTÉMU NEN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_Toc36798598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6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599" w:history="1">
            <w:r w:rsidR="00077E05" w:rsidRPr="0064629A">
              <w:rPr>
                <w:rStyle w:val="Hypertextovodkaz"/>
                <w:rFonts w:ascii="Arial" w:hAnsi="Arial" w:cs="Arial"/>
                <w:noProof/>
              </w:rPr>
              <w:t>3.1.3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noProof/>
              </w:rPr>
              <w:t>DALŠÍ AKTIVITY ODBORU NÁRODNÍCH A EU INFORMAČNÍCH SYSTÉMŮ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_Toc36798599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7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00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3.2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Úkoly a opatření správy NEN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_Toc36798600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9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01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4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KONTROLY NEN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_Toc36798601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9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02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5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Mimořádná provozní událost nen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_Toc36798602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9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03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Provoz NEN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_Toc36798603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11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04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6.1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Obecné informace k provozu NEN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_Toc36798604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11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05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6.2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Statistiky Technické stránky provozu NEN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_Toc36798605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12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06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6.2.1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Dostupnost NEN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_Toc36798606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12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07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6.3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statistiky Technické a metodické podpory uživatelů NEN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_Toc36798607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13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08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6.3.1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Počet přijatých požadavků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_Toc36798608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13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09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6.3.2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Struktura a stav řešení přijatých požadavků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_Toc36798609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13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10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6.4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Uživatelské statistiky NEN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_Toc36798610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15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11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6.4.1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Zadavatelé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_Toc36798611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15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12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6.4.2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Dodavatelé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_Toc36798612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16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13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6.4.3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Počet uživatelů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_Toc36798613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17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14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6.5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Statistiky zadávacích postupů realizovaných v NEN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_Toc36798614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18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15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6.5.1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Dle finančního limitu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_Toc36798615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18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16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6.5.2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Dle zadaného režimu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_Toc36798616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18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17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7</w:t>
            </w:r>
            <w:r w:rsidR="00077E05">
              <w:rPr>
                <w:rFonts w:eastAsiaTheme="minorEastAsia"/>
                <w:noProof/>
                <w:lang w:eastAsia="cs-CZ"/>
              </w:rPr>
              <w:tab/>
            </w:r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swot ANALÝZA NEN za rok 2019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_Toc36798617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21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18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Seznam tabulek a grafů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_Toc36798618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22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077E05" w:rsidRDefault="0007060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798619" w:history="1">
            <w:r w:rsidR="00077E05" w:rsidRPr="0064629A">
              <w:rPr>
                <w:rStyle w:val="Hypertextovodkaz"/>
                <w:rFonts w:ascii="Arial" w:hAnsi="Arial" w:cs="Arial"/>
                <w:caps/>
                <w:noProof/>
              </w:rPr>
              <w:t>Zdroje</w:t>
            </w:r>
            <w:r w:rsidR="00077E05">
              <w:rPr>
                <w:noProof/>
                <w:webHidden/>
              </w:rPr>
              <w:tab/>
            </w:r>
            <w:r w:rsidR="00077E05">
              <w:rPr>
                <w:noProof/>
                <w:webHidden/>
              </w:rPr>
              <w:fldChar w:fldCharType="begin"/>
            </w:r>
            <w:r w:rsidR="00077E05">
              <w:rPr>
                <w:noProof/>
                <w:webHidden/>
              </w:rPr>
              <w:instrText xml:space="preserve"> PAGEREF _Toc36798619 \h </w:instrText>
            </w:r>
            <w:r w:rsidR="00077E05">
              <w:rPr>
                <w:noProof/>
                <w:webHidden/>
              </w:rPr>
            </w:r>
            <w:r w:rsidR="00077E05">
              <w:rPr>
                <w:noProof/>
                <w:webHidden/>
              </w:rPr>
              <w:fldChar w:fldCharType="separate"/>
            </w:r>
            <w:r w:rsidR="00077E05">
              <w:rPr>
                <w:noProof/>
                <w:webHidden/>
              </w:rPr>
              <w:t>22</w:t>
            </w:r>
            <w:r w:rsidR="00077E05">
              <w:rPr>
                <w:noProof/>
                <w:webHidden/>
              </w:rPr>
              <w:fldChar w:fldCharType="end"/>
            </w:r>
          </w:hyperlink>
        </w:p>
        <w:p w:rsidR="004F5641" w:rsidRPr="00096612" w:rsidRDefault="00C847B9" w:rsidP="002C19C6">
          <w:pPr>
            <w:rPr>
              <w:rFonts w:ascii="Arial" w:hAnsi="Arial" w:cs="Arial"/>
              <w:color w:val="000000" w:themeColor="text1"/>
            </w:rPr>
          </w:pPr>
          <w:r w:rsidRPr="00096612">
            <w:rPr>
              <w:rFonts w:ascii="Arial" w:hAnsi="Arial" w:cs="Arial"/>
              <w:b/>
              <w:bCs/>
              <w:color w:val="000000" w:themeColor="text1"/>
            </w:rPr>
            <w:fldChar w:fldCharType="end"/>
          </w:r>
        </w:p>
      </w:sdtContent>
    </w:sdt>
    <w:p w:rsidR="00C847B9" w:rsidRPr="00096612" w:rsidRDefault="00C847B9" w:rsidP="002C19C6">
      <w:pPr>
        <w:pStyle w:val="Nadpis1"/>
        <w:spacing w:after="480" w:line="240" w:lineRule="auto"/>
        <w:ind w:left="431" w:hanging="431"/>
        <w:rPr>
          <w:rFonts w:ascii="Arial" w:hAnsi="Arial" w:cs="Arial"/>
          <w:caps/>
          <w:color w:val="000000" w:themeColor="text1"/>
          <w:sz w:val="26"/>
          <w:szCs w:val="26"/>
        </w:rPr>
      </w:pPr>
      <w:bookmarkStart w:id="6" w:name="_Toc36798592"/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lastRenderedPageBreak/>
        <w:t>Východiska zpracování zprávy</w:t>
      </w:r>
      <w:bookmarkEnd w:id="0"/>
      <w:bookmarkEnd w:id="6"/>
    </w:p>
    <w:p w:rsidR="00180EBF" w:rsidRPr="00096612" w:rsidRDefault="00C847B9" w:rsidP="005925E9">
      <w:pPr>
        <w:pStyle w:val="Nadpis2"/>
        <w:rPr>
          <w:rFonts w:ascii="Arial" w:hAnsi="Arial" w:cs="Arial"/>
          <w:caps/>
          <w:color w:val="000000" w:themeColor="text1"/>
          <w:sz w:val="24"/>
          <w:szCs w:val="24"/>
        </w:rPr>
      </w:pPr>
      <w:bookmarkStart w:id="7" w:name="_Toc505859081"/>
      <w:bookmarkStart w:id="8" w:name="_Toc36798593"/>
      <w:r w:rsidRPr="00096612">
        <w:rPr>
          <w:rFonts w:ascii="Arial" w:hAnsi="Arial" w:cs="Arial"/>
          <w:caps/>
          <w:color w:val="000000" w:themeColor="text1"/>
          <w:sz w:val="24"/>
          <w:szCs w:val="24"/>
        </w:rPr>
        <w:t xml:space="preserve">Účel </w:t>
      </w:r>
      <w:bookmarkEnd w:id="7"/>
      <w:r w:rsidR="0052289A" w:rsidRPr="00096612">
        <w:rPr>
          <w:rFonts w:ascii="Arial" w:hAnsi="Arial" w:cs="Arial"/>
          <w:caps/>
          <w:color w:val="000000" w:themeColor="text1"/>
          <w:sz w:val="24"/>
          <w:szCs w:val="24"/>
        </w:rPr>
        <w:t>ZPRÁVY</w:t>
      </w:r>
      <w:bookmarkEnd w:id="8"/>
    </w:p>
    <w:p w:rsidR="002C19C6" w:rsidRPr="00096612" w:rsidRDefault="002C19C6" w:rsidP="002C19C6">
      <w:pPr>
        <w:rPr>
          <w:color w:val="000000" w:themeColor="text1"/>
        </w:rPr>
      </w:pPr>
    </w:p>
    <w:p w:rsidR="004F5641" w:rsidRPr="00096612" w:rsidRDefault="00C847B9" w:rsidP="00C847B9">
      <w:pPr>
        <w:pStyle w:val="xText"/>
        <w:rPr>
          <w:rFonts w:cs="Arial"/>
          <w:color w:val="000000" w:themeColor="text1"/>
          <w:lang w:eastAsia="en-US"/>
        </w:rPr>
      </w:pPr>
      <w:r w:rsidRPr="00096612">
        <w:rPr>
          <w:rFonts w:cs="Arial"/>
          <w:color w:val="000000" w:themeColor="text1"/>
        </w:rPr>
        <w:t>Účelem předkládaného dokumentu je vyhodno</w:t>
      </w:r>
      <w:r w:rsidR="004F5641" w:rsidRPr="00096612">
        <w:rPr>
          <w:rFonts w:cs="Arial"/>
          <w:color w:val="000000" w:themeColor="text1"/>
        </w:rPr>
        <w:t xml:space="preserve">cení </w:t>
      </w:r>
      <w:r w:rsidRPr="00096612">
        <w:rPr>
          <w:rFonts w:cs="Arial"/>
          <w:color w:val="000000" w:themeColor="text1"/>
        </w:rPr>
        <w:t>fungování Národního elek</w:t>
      </w:r>
      <w:r w:rsidR="008225BA" w:rsidRPr="00096612">
        <w:rPr>
          <w:rFonts w:cs="Arial"/>
          <w:color w:val="000000" w:themeColor="text1"/>
        </w:rPr>
        <w:t xml:space="preserve">tronického nástroje </w:t>
      </w:r>
      <w:r w:rsidR="006E1A43" w:rsidRPr="00096612">
        <w:rPr>
          <w:rFonts w:cs="Arial"/>
          <w:color w:val="000000" w:themeColor="text1"/>
        </w:rPr>
        <w:t xml:space="preserve">     </w:t>
      </w:r>
      <w:r w:rsidR="008225BA" w:rsidRPr="00096612">
        <w:rPr>
          <w:rFonts w:cs="Arial"/>
          <w:color w:val="000000" w:themeColor="text1"/>
        </w:rPr>
        <w:t>(dále</w:t>
      </w:r>
      <w:r w:rsidR="00A2025D" w:rsidRPr="00096612">
        <w:rPr>
          <w:rFonts w:cs="Arial"/>
          <w:color w:val="000000" w:themeColor="text1"/>
        </w:rPr>
        <w:t xml:space="preserve"> </w:t>
      </w:r>
      <w:r w:rsidRPr="00096612">
        <w:rPr>
          <w:rFonts w:cs="Arial"/>
          <w:color w:val="000000" w:themeColor="text1"/>
        </w:rPr>
        <w:t>jen „NEN“) pro zadávání veřejných zakázek za rok </w:t>
      </w:r>
      <w:r w:rsidRPr="00096612">
        <w:rPr>
          <w:rFonts w:cs="Arial"/>
          <w:color w:val="000000" w:themeColor="text1"/>
          <w:lang w:eastAsia="en-US"/>
        </w:rPr>
        <w:t>20</w:t>
      </w:r>
      <w:r w:rsidR="00D62628" w:rsidRPr="00096612">
        <w:rPr>
          <w:rFonts w:cs="Arial"/>
          <w:color w:val="000000" w:themeColor="text1"/>
          <w:lang w:eastAsia="en-US"/>
        </w:rPr>
        <w:t>19</w:t>
      </w:r>
      <w:r w:rsidRPr="00096612">
        <w:rPr>
          <w:rFonts w:cs="Arial"/>
          <w:color w:val="000000" w:themeColor="text1"/>
          <w:lang w:eastAsia="en-US"/>
        </w:rPr>
        <w:t xml:space="preserve">. </w:t>
      </w:r>
    </w:p>
    <w:p w:rsidR="00C847B9" w:rsidRPr="00096612" w:rsidRDefault="00C847B9" w:rsidP="00C847B9">
      <w:pPr>
        <w:pStyle w:val="xText"/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>Zpracováním dokumentu je pln</w:t>
      </w:r>
      <w:r w:rsidR="004F5641" w:rsidRPr="00096612">
        <w:rPr>
          <w:rFonts w:cs="Arial"/>
          <w:color w:val="000000" w:themeColor="text1"/>
        </w:rPr>
        <w:t>ěn úkol</w:t>
      </w:r>
      <w:r w:rsidRPr="00096612">
        <w:rPr>
          <w:rFonts w:cs="Arial"/>
          <w:color w:val="000000" w:themeColor="text1"/>
        </w:rPr>
        <w:t>, kter</w:t>
      </w:r>
      <w:r w:rsidR="004F5641" w:rsidRPr="00096612">
        <w:rPr>
          <w:rFonts w:cs="Arial"/>
          <w:color w:val="000000" w:themeColor="text1"/>
        </w:rPr>
        <w:t>ý</w:t>
      </w:r>
      <w:r w:rsidRPr="00096612">
        <w:rPr>
          <w:rFonts w:cs="Arial"/>
          <w:color w:val="000000" w:themeColor="text1"/>
        </w:rPr>
        <w:t xml:space="preserve"> je uložen ministryni pro místní rozvoj </w:t>
      </w:r>
      <w:r w:rsidR="006E1A43" w:rsidRPr="00096612">
        <w:rPr>
          <w:rFonts w:cs="Arial"/>
          <w:color w:val="000000" w:themeColor="text1"/>
        </w:rPr>
        <w:t xml:space="preserve">                                              </w:t>
      </w:r>
      <w:r w:rsidRPr="00096612">
        <w:rPr>
          <w:rFonts w:cs="Arial"/>
          <w:color w:val="000000" w:themeColor="text1"/>
        </w:rPr>
        <w:t>v čl. II. odst. 7</w:t>
      </w:r>
      <w:r w:rsidR="00C9388C" w:rsidRPr="00096612">
        <w:rPr>
          <w:rFonts w:cs="Arial"/>
          <w:color w:val="000000" w:themeColor="text1"/>
        </w:rPr>
        <w:t> </w:t>
      </w:r>
      <w:r w:rsidRPr="00096612">
        <w:rPr>
          <w:rFonts w:cs="Arial"/>
          <w:color w:val="000000" w:themeColor="text1"/>
        </w:rPr>
        <w:t>usnesení vlády ze dne 30. července 2014 č. 628 k používání Národního elektronického nástroje v</w:t>
      </w:r>
      <w:r w:rsidR="00C9388C" w:rsidRPr="00096612">
        <w:rPr>
          <w:rFonts w:cs="Arial"/>
          <w:color w:val="000000" w:themeColor="text1"/>
        </w:rPr>
        <w:t> </w:t>
      </w:r>
      <w:r w:rsidRPr="00096612">
        <w:rPr>
          <w:rFonts w:cs="Arial"/>
          <w:color w:val="000000" w:themeColor="text1"/>
        </w:rPr>
        <w:t xml:space="preserve">rámci národní infrastruktury pro elektronické zadávání veřejných zakázek. </w:t>
      </w:r>
    </w:p>
    <w:p w:rsidR="00F45AFB" w:rsidRPr="00096612" w:rsidRDefault="00F45AFB" w:rsidP="005925E9">
      <w:pPr>
        <w:pStyle w:val="xBullet"/>
        <w:numPr>
          <w:ilvl w:val="0"/>
          <w:numId w:val="0"/>
        </w:numPr>
        <w:rPr>
          <w:rFonts w:cs="Arial"/>
          <w:color w:val="000000" w:themeColor="text1"/>
        </w:rPr>
      </w:pPr>
    </w:p>
    <w:p w:rsidR="00FF707D" w:rsidRPr="00096612" w:rsidRDefault="00DB40AE" w:rsidP="00FF707D">
      <w:pPr>
        <w:pStyle w:val="xBullet"/>
        <w:numPr>
          <w:ilvl w:val="0"/>
          <w:numId w:val="0"/>
        </w:numPr>
        <w:spacing w:line="480" w:lineRule="auto"/>
        <w:rPr>
          <w:rFonts w:cs="Arial"/>
          <w:b/>
          <w:color w:val="000000" w:themeColor="text1"/>
        </w:rPr>
      </w:pPr>
      <w:r w:rsidRPr="00096612">
        <w:rPr>
          <w:rFonts w:cs="Arial"/>
          <w:b/>
          <w:color w:val="000000" w:themeColor="text1"/>
        </w:rPr>
        <w:t>Zpráva je rozdělena do 6</w:t>
      </w:r>
      <w:r w:rsidR="00F45AFB" w:rsidRPr="00096612">
        <w:rPr>
          <w:rFonts w:cs="Arial"/>
          <w:b/>
          <w:color w:val="000000" w:themeColor="text1"/>
        </w:rPr>
        <w:t xml:space="preserve"> hlavních kapitol:</w:t>
      </w:r>
    </w:p>
    <w:p w:rsidR="00F020D3" w:rsidRPr="00096612" w:rsidRDefault="00F020D3" w:rsidP="00A01673">
      <w:pPr>
        <w:pStyle w:val="xBullet"/>
        <w:numPr>
          <w:ilvl w:val="0"/>
          <w:numId w:val="22"/>
        </w:numPr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>Manažerské shrnutí</w:t>
      </w:r>
      <w:r w:rsidR="004F5641" w:rsidRPr="00096612">
        <w:rPr>
          <w:rFonts w:cs="Arial"/>
          <w:color w:val="000000" w:themeColor="text1"/>
        </w:rPr>
        <w:t xml:space="preserve"> – shrnuje zásadní události NEN za rok 201</w:t>
      </w:r>
      <w:r w:rsidR="00D62628" w:rsidRPr="00096612">
        <w:rPr>
          <w:rFonts w:cs="Arial"/>
          <w:color w:val="000000" w:themeColor="text1"/>
        </w:rPr>
        <w:t>9</w:t>
      </w:r>
      <w:r w:rsidR="002C19C6" w:rsidRPr="00096612">
        <w:rPr>
          <w:rFonts w:cs="Arial"/>
          <w:color w:val="000000" w:themeColor="text1"/>
        </w:rPr>
        <w:t>.</w:t>
      </w:r>
    </w:p>
    <w:p w:rsidR="00F45AFB" w:rsidRPr="00096612" w:rsidRDefault="00F020D3" w:rsidP="00A01673">
      <w:pPr>
        <w:pStyle w:val="xBullet"/>
        <w:numPr>
          <w:ilvl w:val="0"/>
          <w:numId w:val="22"/>
        </w:numPr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>P</w:t>
      </w:r>
      <w:r w:rsidR="00F45AFB" w:rsidRPr="00096612">
        <w:rPr>
          <w:rFonts w:cs="Arial"/>
          <w:color w:val="000000" w:themeColor="text1"/>
        </w:rPr>
        <w:t xml:space="preserve">řehled aktivit vykonaných Správcem NEN – tj. Ministerstvem pro místní rozvoj </w:t>
      </w:r>
      <w:r w:rsidR="00AD68CF" w:rsidRPr="00096612">
        <w:rPr>
          <w:rFonts w:cs="Arial"/>
          <w:color w:val="000000" w:themeColor="text1"/>
        </w:rPr>
        <w:t xml:space="preserve">(dále jen „MMR“) </w:t>
      </w:r>
      <w:r w:rsidR="004F5641" w:rsidRPr="00096612">
        <w:rPr>
          <w:rFonts w:cs="Arial"/>
          <w:color w:val="000000" w:themeColor="text1"/>
        </w:rPr>
        <w:t>vykonaných při</w:t>
      </w:r>
      <w:r w:rsidR="00C9388C" w:rsidRPr="00096612">
        <w:rPr>
          <w:rFonts w:cs="Arial"/>
          <w:color w:val="000000" w:themeColor="text1"/>
        </w:rPr>
        <w:t> </w:t>
      </w:r>
      <w:r w:rsidR="004F5641" w:rsidRPr="00096612">
        <w:rPr>
          <w:rFonts w:cs="Arial"/>
          <w:color w:val="000000" w:themeColor="text1"/>
        </w:rPr>
        <w:t>správě NEN – shrnuje akti</w:t>
      </w:r>
      <w:r w:rsidR="00E618F2" w:rsidRPr="00096612">
        <w:rPr>
          <w:rFonts w:cs="Arial"/>
          <w:color w:val="000000" w:themeColor="text1"/>
        </w:rPr>
        <w:t>vity vykonané v oblasti rozvoje a školení</w:t>
      </w:r>
      <w:r w:rsidR="004F5641" w:rsidRPr="00096612">
        <w:rPr>
          <w:rFonts w:cs="Arial"/>
          <w:color w:val="000000" w:themeColor="text1"/>
        </w:rPr>
        <w:t xml:space="preserve"> za rok 201</w:t>
      </w:r>
      <w:r w:rsidR="00D62628" w:rsidRPr="00096612">
        <w:rPr>
          <w:rFonts w:cs="Arial"/>
          <w:color w:val="000000" w:themeColor="text1"/>
        </w:rPr>
        <w:t>9</w:t>
      </w:r>
      <w:r w:rsidR="004F5641" w:rsidRPr="00096612">
        <w:rPr>
          <w:rFonts w:cs="Arial"/>
          <w:color w:val="000000" w:themeColor="text1"/>
        </w:rPr>
        <w:t>.</w:t>
      </w:r>
    </w:p>
    <w:p w:rsidR="00F45AFB" w:rsidRPr="00096612" w:rsidRDefault="00F020D3" w:rsidP="00A01673">
      <w:pPr>
        <w:pStyle w:val="xBullet"/>
        <w:numPr>
          <w:ilvl w:val="0"/>
          <w:numId w:val="22"/>
        </w:numPr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>P</w:t>
      </w:r>
      <w:r w:rsidR="00F45AFB" w:rsidRPr="00096612">
        <w:rPr>
          <w:rFonts w:cs="Arial"/>
          <w:color w:val="000000" w:themeColor="text1"/>
        </w:rPr>
        <w:t xml:space="preserve">řehled kontrol externích subjektů realizovaných v roce </w:t>
      </w:r>
      <w:r w:rsidR="004F5641" w:rsidRPr="00096612">
        <w:rPr>
          <w:rFonts w:cs="Arial"/>
          <w:color w:val="000000" w:themeColor="text1"/>
        </w:rPr>
        <w:t>201</w:t>
      </w:r>
      <w:r w:rsidR="00375FF3" w:rsidRPr="00096612">
        <w:rPr>
          <w:rFonts w:cs="Arial"/>
          <w:color w:val="000000" w:themeColor="text1"/>
        </w:rPr>
        <w:t>9</w:t>
      </w:r>
      <w:r w:rsidR="00455887" w:rsidRPr="00096612">
        <w:rPr>
          <w:rFonts w:cs="Arial"/>
          <w:color w:val="000000" w:themeColor="text1"/>
        </w:rPr>
        <w:t xml:space="preserve"> – kapitola shrnuje kontroly</w:t>
      </w:r>
      <w:r w:rsidR="00E618F2" w:rsidRPr="00096612">
        <w:rPr>
          <w:rFonts w:cs="Arial"/>
          <w:color w:val="000000" w:themeColor="text1"/>
        </w:rPr>
        <w:t>,</w:t>
      </w:r>
      <w:r w:rsidR="00455887" w:rsidRPr="00096612">
        <w:rPr>
          <w:rFonts w:cs="Arial"/>
          <w:color w:val="000000" w:themeColor="text1"/>
        </w:rPr>
        <w:t xml:space="preserve"> ke </w:t>
      </w:r>
      <w:r w:rsidR="004F5641" w:rsidRPr="00096612">
        <w:rPr>
          <w:rFonts w:cs="Arial"/>
          <w:color w:val="000000" w:themeColor="text1"/>
        </w:rPr>
        <w:t>kterým v projektu NEN došlo</w:t>
      </w:r>
      <w:r w:rsidR="002C19C6" w:rsidRPr="00096612">
        <w:rPr>
          <w:rFonts w:cs="Arial"/>
          <w:color w:val="000000" w:themeColor="text1"/>
        </w:rPr>
        <w:t>.</w:t>
      </w:r>
    </w:p>
    <w:p w:rsidR="00F45AFB" w:rsidRPr="00096612" w:rsidRDefault="00F020D3" w:rsidP="00A01673">
      <w:pPr>
        <w:pStyle w:val="xBullet"/>
        <w:numPr>
          <w:ilvl w:val="0"/>
          <w:numId w:val="22"/>
        </w:numPr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>Provozní a uživatelské</w:t>
      </w:r>
      <w:r w:rsidR="00F45AFB" w:rsidRPr="00096612">
        <w:rPr>
          <w:rFonts w:cs="Arial"/>
          <w:color w:val="000000" w:themeColor="text1"/>
        </w:rPr>
        <w:t xml:space="preserve"> statisti</w:t>
      </w:r>
      <w:r w:rsidR="004F5641" w:rsidRPr="00096612">
        <w:rPr>
          <w:rFonts w:cs="Arial"/>
          <w:color w:val="000000" w:themeColor="text1"/>
        </w:rPr>
        <w:t>ky – shrnuje informace o výpadcích, odstávkách NEN, počtu požadavků na uživatelskou podporu NEN, atd.</w:t>
      </w:r>
    </w:p>
    <w:p w:rsidR="00F45AFB" w:rsidRPr="00096612" w:rsidRDefault="00F020D3" w:rsidP="00A01673">
      <w:pPr>
        <w:pStyle w:val="xBullet"/>
        <w:numPr>
          <w:ilvl w:val="0"/>
          <w:numId w:val="22"/>
        </w:numPr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>Statistiky</w:t>
      </w:r>
      <w:r w:rsidR="00F45AFB" w:rsidRPr="00096612">
        <w:rPr>
          <w:rFonts w:cs="Arial"/>
          <w:color w:val="000000" w:themeColor="text1"/>
        </w:rPr>
        <w:t xml:space="preserve"> o zadávacích řízeních </w:t>
      </w:r>
      <w:r w:rsidR="004F5641" w:rsidRPr="00096612">
        <w:rPr>
          <w:rFonts w:cs="Arial"/>
          <w:color w:val="000000" w:themeColor="text1"/>
        </w:rPr>
        <w:t>realizovaných v NEN v roce 201</w:t>
      </w:r>
      <w:r w:rsidR="00375FF3" w:rsidRPr="00096612">
        <w:rPr>
          <w:rFonts w:cs="Arial"/>
          <w:color w:val="000000" w:themeColor="text1"/>
        </w:rPr>
        <w:t>9</w:t>
      </w:r>
      <w:r w:rsidR="004F5641" w:rsidRPr="00096612">
        <w:rPr>
          <w:rFonts w:cs="Arial"/>
          <w:color w:val="000000" w:themeColor="text1"/>
        </w:rPr>
        <w:t xml:space="preserve"> – prezentuje data </w:t>
      </w:r>
      <w:r w:rsidR="00DE64D7" w:rsidRPr="00096612">
        <w:rPr>
          <w:rFonts w:cs="Arial"/>
          <w:color w:val="000000" w:themeColor="text1"/>
        </w:rPr>
        <w:t>o veřejných zakázkách realizovaných v NEN.</w:t>
      </w:r>
    </w:p>
    <w:p w:rsidR="0093521F" w:rsidRPr="00096612" w:rsidRDefault="00164BB9" w:rsidP="00A01673">
      <w:pPr>
        <w:pStyle w:val="xBullet"/>
        <w:numPr>
          <w:ilvl w:val="0"/>
          <w:numId w:val="22"/>
        </w:numPr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 xml:space="preserve"> Swo</w:t>
      </w:r>
      <w:r w:rsidR="0093521F" w:rsidRPr="00096612">
        <w:rPr>
          <w:rFonts w:cs="Arial"/>
          <w:color w:val="000000" w:themeColor="text1"/>
        </w:rPr>
        <w:t xml:space="preserve">t analýza NEN </w:t>
      </w:r>
      <w:r w:rsidR="00AD68CF" w:rsidRPr="00096612">
        <w:rPr>
          <w:rFonts w:cs="Arial"/>
          <w:color w:val="000000" w:themeColor="text1"/>
        </w:rPr>
        <w:t xml:space="preserve">za </w:t>
      </w:r>
      <w:r w:rsidR="0093521F" w:rsidRPr="00096612">
        <w:rPr>
          <w:rFonts w:cs="Arial"/>
          <w:color w:val="000000" w:themeColor="text1"/>
        </w:rPr>
        <w:t>rok 201</w:t>
      </w:r>
      <w:r w:rsidR="00375FF3" w:rsidRPr="00096612">
        <w:rPr>
          <w:rFonts w:cs="Arial"/>
          <w:color w:val="000000" w:themeColor="text1"/>
        </w:rPr>
        <w:t>9</w:t>
      </w:r>
      <w:r w:rsidR="00DB40AE" w:rsidRPr="00096612">
        <w:rPr>
          <w:rFonts w:cs="Arial"/>
          <w:color w:val="000000" w:themeColor="text1"/>
        </w:rPr>
        <w:t>.</w:t>
      </w:r>
    </w:p>
    <w:p w:rsidR="00C847B9" w:rsidRPr="00096612" w:rsidRDefault="00C847B9" w:rsidP="00180EBF">
      <w:pPr>
        <w:pStyle w:val="xBullet"/>
        <w:numPr>
          <w:ilvl w:val="0"/>
          <w:numId w:val="0"/>
        </w:numPr>
        <w:ind w:left="720" w:hanging="360"/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 xml:space="preserve"> </w:t>
      </w:r>
    </w:p>
    <w:p w:rsidR="00F45AFB" w:rsidRPr="00096612" w:rsidRDefault="00F45AFB" w:rsidP="00D77D53">
      <w:pPr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  <w:bookmarkStart w:id="9" w:name="_Toc505859082"/>
    </w:p>
    <w:p w:rsidR="00F45AFB" w:rsidRPr="00096612" w:rsidRDefault="00F45AFB" w:rsidP="00D77D53">
      <w:pPr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F45AFB" w:rsidRPr="00096612" w:rsidRDefault="00F45AFB" w:rsidP="00D77D53">
      <w:pPr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F45AFB" w:rsidRPr="00096612" w:rsidRDefault="00F45AFB" w:rsidP="00D77D53">
      <w:pPr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</w:p>
    <w:bookmarkEnd w:id="9"/>
    <w:p w:rsidR="00CD46BB" w:rsidRPr="00096612" w:rsidRDefault="00CD46BB" w:rsidP="00D77D5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45AFB" w:rsidRPr="00096612" w:rsidRDefault="00F45AFB" w:rsidP="00E44601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F020D3" w:rsidRPr="00096612" w:rsidRDefault="00F020D3" w:rsidP="00E44601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F020D3" w:rsidRPr="00096612" w:rsidRDefault="00F020D3" w:rsidP="00E44601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F020D3" w:rsidRPr="00096612" w:rsidRDefault="00F020D3" w:rsidP="00E44601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F020D3" w:rsidRPr="00096612" w:rsidRDefault="00F020D3" w:rsidP="00E44601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52082D" w:rsidRPr="00096612" w:rsidRDefault="0052082D" w:rsidP="00E44601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52082D" w:rsidRPr="00096612" w:rsidRDefault="0052082D" w:rsidP="00E44601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47654D" w:rsidRPr="00096612" w:rsidRDefault="0047654D" w:rsidP="0047654D">
      <w:pPr>
        <w:jc w:val="both"/>
        <w:rPr>
          <w:rFonts w:ascii="Arial" w:hAnsi="Arial" w:cs="Arial"/>
          <w:color w:val="000000" w:themeColor="text1"/>
        </w:rPr>
      </w:pPr>
    </w:p>
    <w:p w:rsidR="00CA2CC8" w:rsidRPr="00096612" w:rsidRDefault="00172485" w:rsidP="00077E05">
      <w:pPr>
        <w:pStyle w:val="Nadpis1"/>
        <w:spacing w:after="480" w:line="240" w:lineRule="auto"/>
        <w:ind w:left="431" w:hanging="431"/>
        <w:rPr>
          <w:rFonts w:ascii="Arial" w:hAnsi="Arial" w:cs="Arial"/>
          <w:caps/>
          <w:color w:val="000000" w:themeColor="text1"/>
          <w:sz w:val="26"/>
          <w:szCs w:val="26"/>
        </w:rPr>
      </w:pPr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lastRenderedPageBreak/>
        <w:t xml:space="preserve"> </w:t>
      </w:r>
      <w:bookmarkStart w:id="10" w:name="_Toc36798594"/>
      <w:r w:rsidR="00F020D3" w:rsidRPr="00096612">
        <w:rPr>
          <w:rFonts w:ascii="Arial" w:hAnsi="Arial" w:cs="Arial"/>
          <w:caps/>
          <w:color w:val="000000" w:themeColor="text1"/>
          <w:sz w:val="26"/>
          <w:szCs w:val="26"/>
        </w:rPr>
        <w:t>Manažerské shrnutí</w:t>
      </w:r>
      <w:bookmarkEnd w:id="10"/>
    </w:p>
    <w:p w:rsidR="00F020D3" w:rsidRPr="00096612" w:rsidRDefault="00F020D3" w:rsidP="00F020D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V roce 201</w:t>
      </w:r>
      <w:r w:rsidR="00375FF3" w:rsidRPr="00096612">
        <w:rPr>
          <w:rFonts w:ascii="Arial" w:hAnsi="Arial" w:cs="Arial"/>
          <w:color w:val="000000" w:themeColor="text1"/>
          <w:sz w:val="20"/>
          <w:szCs w:val="20"/>
        </w:rPr>
        <w:t>9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došlo k následujícím důležitým událostem:</w:t>
      </w:r>
    </w:p>
    <w:p w:rsidR="00D53963" w:rsidRPr="00096612" w:rsidRDefault="00D53963" w:rsidP="006274EE">
      <w:pPr>
        <w:pStyle w:val="Odstavecseseznamem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B0932" w:rsidRPr="00096612" w:rsidRDefault="00857FE6" w:rsidP="00683B78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 w:rsidDel="00857FE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B0932" w:rsidRPr="00096612">
        <w:rPr>
          <w:rFonts w:ascii="Arial" w:hAnsi="Arial" w:cs="Arial"/>
          <w:b/>
          <w:color w:val="000000" w:themeColor="text1"/>
          <w:sz w:val="20"/>
          <w:szCs w:val="20"/>
        </w:rPr>
        <w:t>K podepsání smlouvy na</w:t>
      </w:r>
      <w:r w:rsidR="00665847"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274EE"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Servis </w:t>
      </w:r>
      <w:r w:rsidR="00EB0932" w:rsidRPr="00096612">
        <w:rPr>
          <w:rFonts w:ascii="Arial" w:hAnsi="Arial" w:cs="Arial"/>
          <w:b/>
          <w:color w:val="000000" w:themeColor="text1"/>
          <w:sz w:val="20"/>
          <w:szCs w:val="20"/>
        </w:rPr>
        <w:t>aplikace NEN</w:t>
      </w:r>
    </w:p>
    <w:p w:rsidR="007901D3" w:rsidRPr="00096612" w:rsidRDefault="007901D3" w:rsidP="007901D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Dne 25. 7. 2019 došlo k podpisu smlouvy CES 5835 na Servis Aplikace NEN. Smlouva byla podepsána se společností TESCO SW, a.s. Předmětem této smlouvy je servis a rozvoj Aplikace NEN (v návaznosti na potřeby uživatelů a změnu legislativy), a poskytování metodické podpory nově nasazovaných verzí NEN formou on-</w:t>
      </w:r>
      <w:proofErr w:type="spellStart"/>
      <w:r w:rsidRPr="00096612">
        <w:rPr>
          <w:rFonts w:ascii="Arial" w:hAnsi="Arial" w:cs="Arial"/>
          <w:color w:val="000000" w:themeColor="text1"/>
          <w:sz w:val="20"/>
          <w:szCs w:val="20"/>
        </w:rPr>
        <w:t>site</w:t>
      </w:r>
      <w:proofErr w:type="spellEnd"/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(tj. v místě žadatele) podpory a formou školení. Smlouva byla uzavřena na 48 měsíců. Veřejná zakázka na Servis aplikace NEN byla soutěžena v otevřeném řízení. </w:t>
      </w:r>
    </w:p>
    <w:p w:rsidR="0094081E" w:rsidRPr="00096612" w:rsidRDefault="0094081E" w:rsidP="0094081E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K podepsání smlouvy na </w:t>
      </w:r>
      <w:r w:rsidR="007520B6" w:rsidRPr="00096612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D53963" w:rsidRPr="00096612">
        <w:rPr>
          <w:rFonts w:ascii="Arial" w:hAnsi="Arial" w:cs="Arial"/>
          <w:b/>
          <w:color w:val="000000" w:themeColor="text1"/>
          <w:sz w:val="20"/>
          <w:szCs w:val="20"/>
        </w:rPr>
        <w:t>echnickou podporu</w:t>
      </w: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 NEN</w:t>
      </w:r>
    </w:p>
    <w:p w:rsidR="007520B6" w:rsidRPr="00096612" w:rsidRDefault="0094081E" w:rsidP="007520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Dne </w:t>
      </w:r>
      <w:r w:rsidR="00A97546" w:rsidRPr="00096612">
        <w:rPr>
          <w:rFonts w:ascii="Arial" w:hAnsi="Arial" w:cs="Arial"/>
          <w:color w:val="000000" w:themeColor="text1"/>
          <w:sz w:val="20"/>
          <w:szCs w:val="20"/>
        </w:rPr>
        <w:t>17. 6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. 2019 došlo k podpisu smlouvy CES 5811 O zajištění technické podpory k produktům využitých v informačním systému NEN. Smlouva byla podepsána se společností TECHNISERV IT, spol. s r.o.</w:t>
      </w:r>
      <w:r w:rsidR="00665847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Dodavatel bude poskytovat komplexní služby k zajišťování technické podpory softwarových produktů a ostatních technologií </w:t>
      </w:r>
      <w:proofErr w:type="gramStart"/>
      <w:r w:rsidRPr="00096612">
        <w:rPr>
          <w:rFonts w:ascii="Arial" w:hAnsi="Arial" w:cs="Arial"/>
          <w:color w:val="000000" w:themeColor="text1"/>
          <w:sz w:val="20"/>
          <w:szCs w:val="20"/>
        </w:rPr>
        <w:t>využívaných v IS</w:t>
      </w:r>
      <w:proofErr w:type="gramEnd"/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NEN</w:t>
      </w:r>
      <w:r w:rsidR="007520B6" w:rsidRPr="00096612">
        <w:rPr>
          <w:rFonts w:ascii="Arial" w:hAnsi="Arial" w:cs="Arial"/>
          <w:color w:val="000000" w:themeColor="text1"/>
          <w:sz w:val="20"/>
          <w:szCs w:val="20"/>
        </w:rPr>
        <w:t xml:space="preserve">.  Veřejná zakázka na Technickou podporu NEN byla soutěžena v otevřeném řízení. </w:t>
      </w:r>
    </w:p>
    <w:p w:rsidR="0094081E" w:rsidRPr="00096612" w:rsidRDefault="0094081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B0932" w:rsidRPr="00096612" w:rsidRDefault="00EB0932" w:rsidP="0094081E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>K podepsání smlouvy na nový Provoz NEN</w:t>
      </w:r>
    </w:p>
    <w:p w:rsidR="0052082D" w:rsidRPr="00096612" w:rsidRDefault="00665DDC" w:rsidP="003074E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Dne 9</w:t>
      </w:r>
      <w:r w:rsidR="00EB0932" w:rsidRPr="00096612">
        <w:rPr>
          <w:rFonts w:ascii="Arial" w:hAnsi="Arial" w:cs="Arial"/>
          <w:color w:val="000000" w:themeColor="text1"/>
          <w:sz w:val="20"/>
          <w:szCs w:val="20"/>
        </w:rPr>
        <w:t>. 12. 2019 byla podepsána smlouva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CES 5885 na Zajištění</w:t>
      </w:r>
      <w:r w:rsidR="00EB0932" w:rsidRPr="00096612">
        <w:rPr>
          <w:rFonts w:ascii="Arial" w:hAnsi="Arial" w:cs="Arial"/>
          <w:color w:val="000000" w:themeColor="text1"/>
          <w:sz w:val="20"/>
          <w:szCs w:val="20"/>
        </w:rPr>
        <w:t xml:space="preserve"> provozu </w:t>
      </w:r>
      <w:r w:rsidR="008225BA" w:rsidRPr="00096612">
        <w:rPr>
          <w:rFonts w:ascii="Arial" w:hAnsi="Arial" w:cs="Arial"/>
          <w:color w:val="000000" w:themeColor="text1"/>
          <w:sz w:val="20"/>
          <w:szCs w:val="20"/>
        </w:rPr>
        <w:t>N</w:t>
      </w:r>
      <w:r w:rsidR="00EB0932" w:rsidRPr="00096612">
        <w:rPr>
          <w:rFonts w:ascii="Arial" w:hAnsi="Arial" w:cs="Arial"/>
          <w:color w:val="000000" w:themeColor="text1"/>
          <w:sz w:val="20"/>
          <w:szCs w:val="20"/>
        </w:rPr>
        <w:t>árodního elektronického nástroje. Smlouva byla podepsána se společnostmi TESCO SW a.s</w:t>
      </w:r>
      <w:r w:rsidR="006E1A43" w:rsidRPr="00096612">
        <w:rPr>
          <w:rFonts w:ascii="Arial" w:hAnsi="Arial" w:cs="Arial"/>
          <w:color w:val="000000" w:themeColor="text1"/>
          <w:sz w:val="20"/>
          <w:szCs w:val="20"/>
        </w:rPr>
        <w:t>.</w:t>
      </w:r>
      <w:r w:rsidR="00EB0932" w:rsidRPr="00096612">
        <w:rPr>
          <w:rFonts w:ascii="Arial" w:hAnsi="Arial" w:cs="Arial"/>
          <w:color w:val="000000" w:themeColor="text1"/>
          <w:sz w:val="20"/>
          <w:szCs w:val="20"/>
        </w:rPr>
        <w:t xml:space="preserve"> a O2 Czech Republic a.s. </w:t>
      </w:r>
      <w:r w:rsidR="0052082D" w:rsidRPr="00096612">
        <w:rPr>
          <w:rFonts w:ascii="Arial" w:hAnsi="Arial" w:cs="Arial"/>
          <w:color w:val="000000" w:themeColor="text1"/>
          <w:sz w:val="20"/>
          <w:szCs w:val="20"/>
        </w:rPr>
        <w:t>Uzavření smlouvy bylo nutné</w:t>
      </w:r>
      <w:r w:rsidR="00EB0932" w:rsidRPr="00096612">
        <w:rPr>
          <w:rFonts w:ascii="Arial" w:hAnsi="Arial" w:cs="Arial"/>
          <w:color w:val="000000" w:themeColor="text1"/>
          <w:sz w:val="20"/>
          <w:szCs w:val="20"/>
        </w:rPr>
        <w:t xml:space="preserve"> z důvodu vypršení smlouvy na Provoz se stávajícím </w:t>
      </w:r>
      <w:r w:rsidR="00EA53E5" w:rsidRPr="00096612">
        <w:rPr>
          <w:rFonts w:ascii="Arial" w:hAnsi="Arial" w:cs="Arial"/>
          <w:color w:val="000000" w:themeColor="text1"/>
          <w:sz w:val="20"/>
          <w:szCs w:val="20"/>
        </w:rPr>
        <w:t>P</w:t>
      </w:r>
      <w:r w:rsidR="00EB0932" w:rsidRPr="00096612">
        <w:rPr>
          <w:rFonts w:ascii="Arial" w:hAnsi="Arial" w:cs="Arial"/>
          <w:color w:val="000000" w:themeColor="text1"/>
          <w:sz w:val="20"/>
          <w:szCs w:val="20"/>
        </w:rPr>
        <w:t xml:space="preserve">rovozovatelem ke dni </w:t>
      </w:r>
      <w:r w:rsidR="006E1A43" w:rsidRPr="00096612"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EB0932" w:rsidRPr="00096612">
        <w:rPr>
          <w:rFonts w:ascii="Arial" w:hAnsi="Arial" w:cs="Arial"/>
          <w:color w:val="000000" w:themeColor="text1"/>
          <w:sz w:val="20"/>
          <w:szCs w:val="20"/>
        </w:rPr>
        <w:t>31. 12. 2019, tak aby byla zachována</w:t>
      </w:r>
      <w:r w:rsidR="0052082D" w:rsidRPr="00096612">
        <w:rPr>
          <w:rFonts w:ascii="Arial" w:hAnsi="Arial" w:cs="Arial"/>
          <w:color w:val="000000" w:themeColor="text1"/>
          <w:sz w:val="20"/>
          <w:szCs w:val="20"/>
        </w:rPr>
        <w:t xml:space="preserve"> kontinuita poskytovaných</w:t>
      </w:r>
      <w:r w:rsidR="008071B1" w:rsidRPr="00096612">
        <w:rPr>
          <w:rFonts w:ascii="Arial" w:hAnsi="Arial" w:cs="Arial"/>
          <w:color w:val="000000" w:themeColor="text1"/>
          <w:sz w:val="20"/>
          <w:szCs w:val="20"/>
        </w:rPr>
        <w:t xml:space="preserve"> služeb.</w:t>
      </w:r>
      <w:r w:rsidR="007520B6" w:rsidRPr="00096612">
        <w:rPr>
          <w:rFonts w:ascii="Arial" w:hAnsi="Arial" w:cs="Arial"/>
          <w:color w:val="000000" w:themeColor="text1"/>
          <w:sz w:val="20"/>
          <w:szCs w:val="20"/>
        </w:rPr>
        <w:t xml:space="preserve"> Veřejná zakázka na Provoz aplikace NEN byla</w:t>
      </w:r>
      <w:r w:rsidR="00665847" w:rsidRPr="00096612">
        <w:rPr>
          <w:rFonts w:ascii="Arial" w:hAnsi="Arial" w:cs="Arial"/>
          <w:color w:val="000000" w:themeColor="text1"/>
          <w:sz w:val="20"/>
          <w:szCs w:val="20"/>
        </w:rPr>
        <w:t xml:space="preserve"> soutěžena v otevřeném řízení. </w:t>
      </w:r>
    </w:p>
    <w:p w:rsidR="00665847" w:rsidRPr="00096612" w:rsidRDefault="00665847" w:rsidP="003074E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149F6" w:rsidRPr="00096612" w:rsidRDefault="00DE64D7" w:rsidP="0094081E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>Realizace š</w:t>
      </w:r>
      <w:r w:rsidR="005149F6" w:rsidRPr="00096612">
        <w:rPr>
          <w:rFonts w:ascii="Arial" w:hAnsi="Arial" w:cs="Arial"/>
          <w:b/>
          <w:color w:val="000000" w:themeColor="text1"/>
          <w:sz w:val="20"/>
          <w:szCs w:val="20"/>
        </w:rPr>
        <w:t>kolení NEN</w:t>
      </w:r>
      <w:r w:rsidR="002C19C6" w:rsidRPr="0009661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5149F6"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B0932" w:rsidRPr="00096612" w:rsidRDefault="005149F6" w:rsidP="003074E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V roce 201</w:t>
      </w:r>
      <w:r w:rsidR="00375FF3" w:rsidRPr="00096612">
        <w:rPr>
          <w:rFonts w:ascii="Arial" w:hAnsi="Arial" w:cs="Arial"/>
          <w:color w:val="000000" w:themeColor="text1"/>
          <w:sz w:val="20"/>
          <w:szCs w:val="20"/>
        </w:rPr>
        <w:t>9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bylo realizováno </w:t>
      </w:r>
      <w:r w:rsidR="000678EB" w:rsidRPr="00096612">
        <w:rPr>
          <w:rFonts w:ascii="Arial" w:hAnsi="Arial" w:cs="Arial"/>
          <w:color w:val="000000" w:themeColor="text1"/>
          <w:sz w:val="20"/>
          <w:szCs w:val="20"/>
        </w:rPr>
        <w:t>20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školení s celkovým počtem </w:t>
      </w:r>
      <w:r w:rsidR="000678EB" w:rsidRPr="00096612">
        <w:rPr>
          <w:rFonts w:ascii="Arial" w:hAnsi="Arial" w:cs="Arial"/>
          <w:color w:val="000000" w:themeColor="text1"/>
          <w:sz w:val="20"/>
          <w:szCs w:val="20"/>
        </w:rPr>
        <w:t>646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účastníků. </w:t>
      </w:r>
      <w:r w:rsidR="006832C2" w:rsidRPr="00096612">
        <w:rPr>
          <w:rFonts w:ascii="Arial" w:hAnsi="Arial" w:cs="Arial"/>
          <w:color w:val="000000" w:themeColor="text1"/>
          <w:sz w:val="20"/>
          <w:szCs w:val="20"/>
        </w:rPr>
        <w:t>V roce 2019 MMR zaznamenalo</w:t>
      </w:r>
      <w:r w:rsidR="00375FF3" w:rsidRPr="00096612">
        <w:rPr>
          <w:rFonts w:ascii="Arial" w:hAnsi="Arial" w:cs="Arial"/>
          <w:color w:val="000000" w:themeColor="text1"/>
          <w:sz w:val="20"/>
          <w:szCs w:val="20"/>
        </w:rPr>
        <w:t xml:space="preserve"> pokles</w:t>
      </w:r>
      <w:r w:rsidR="006832C2" w:rsidRPr="00096612">
        <w:rPr>
          <w:rFonts w:ascii="Arial" w:hAnsi="Arial" w:cs="Arial"/>
          <w:color w:val="000000" w:themeColor="text1"/>
          <w:sz w:val="20"/>
          <w:szCs w:val="20"/>
        </w:rPr>
        <w:t xml:space="preserve"> zájmu</w:t>
      </w:r>
      <w:r w:rsidR="00375FF3" w:rsidRPr="00096612">
        <w:rPr>
          <w:rFonts w:ascii="Arial" w:hAnsi="Arial" w:cs="Arial"/>
          <w:color w:val="000000" w:themeColor="text1"/>
          <w:sz w:val="20"/>
          <w:szCs w:val="20"/>
        </w:rPr>
        <w:t xml:space="preserve"> o stávající školení NEN, což </w:t>
      </w:r>
      <w:r w:rsidR="00FB0DA5" w:rsidRPr="00096612">
        <w:rPr>
          <w:rFonts w:ascii="Arial" w:hAnsi="Arial" w:cs="Arial"/>
          <w:color w:val="000000" w:themeColor="text1"/>
          <w:sz w:val="20"/>
          <w:szCs w:val="20"/>
        </w:rPr>
        <w:t>je dáno tím, že již velký počet uživatelů NEN byl proškolen v minulosti</w:t>
      </w:r>
      <w:r w:rsidR="00375FF3" w:rsidRPr="00096612">
        <w:rPr>
          <w:rFonts w:ascii="Arial" w:hAnsi="Arial" w:cs="Arial"/>
          <w:color w:val="000000" w:themeColor="text1"/>
          <w:sz w:val="20"/>
          <w:szCs w:val="20"/>
        </w:rPr>
        <w:t>.</w:t>
      </w:r>
      <w:r w:rsidR="007714D1" w:rsidRPr="00096612">
        <w:rPr>
          <w:rFonts w:ascii="Arial" w:hAnsi="Arial" w:cs="Arial"/>
          <w:color w:val="000000" w:themeColor="text1"/>
          <w:sz w:val="20"/>
          <w:szCs w:val="20"/>
        </w:rPr>
        <w:t xml:space="preserve"> Celkem bylo ke dni 31. 12. 2019 proškoleno 6 617 zadavatelů a dodavat</w:t>
      </w:r>
      <w:r w:rsidR="0036303B" w:rsidRPr="00096612">
        <w:rPr>
          <w:rFonts w:ascii="Arial" w:hAnsi="Arial" w:cs="Arial"/>
          <w:color w:val="000000" w:themeColor="text1"/>
          <w:sz w:val="20"/>
          <w:szCs w:val="20"/>
        </w:rPr>
        <w:t>elů na více než 200 školeních.</w:t>
      </w:r>
      <w:r w:rsidR="00D53963" w:rsidRPr="00096612">
        <w:rPr>
          <w:rFonts w:ascii="Arial" w:hAnsi="Arial" w:cs="Arial"/>
          <w:color w:val="000000" w:themeColor="text1"/>
          <w:sz w:val="20"/>
          <w:szCs w:val="20"/>
        </w:rPr>
        <w:t xml:space="preserve"> Z důvodu po</w:t>
      </w:r>
      <w:r w:rsidR="005A3F03">
        <w:rPr>
          <w:rFonts w:ascii="Arial" w:hAnsi="Arial" w:cs="Arial"/>
          <w:color w:val="000000" w:themeColor="text1"/>
          <w:sz w:val="20"/>
          <w:szCs w:val="20"/>
        </w:rPr>
        <w:t>klesu zájmu o školení NEN nebyly</w:t>
      </w:r>
      <w:r w:rsidR="00D53963" w:rsidRPr="00096612">
        <w:rPr>
          <w:rFonts w:ascii="Arial" w:hAnsi="Arial" w:cs="Arial"/>
          <w:color w:val="000000" w:themeColor="text1"/>
          <w:sz w:val="20"/>
          <w:szCs w:val="20"/>
        </w:rPr>
        <w:t xml:space="preserve"> v r</w:t>
      </w:r>
      <w:r w:rsidR="005A3F03">
        <w:rPr>
          <w:rFonts w:ascii="Arial" w:hAnsi="Arial" w:cs="Arial"/>
          <w:color w:val="000000" w:themeColor="text1"/>
          <w:sz w:val="20"/>
          <w:szCs w:val="20"/>
        </w:rPr>
        <w:t>oce 2019 realizovány</w:t>
      </w:r>
      <w:r w:rsidR="00D53963" w:rsidRPr="00096612">
        <w:rPr>
          <w:rFonts w:ascii="Arial" w:hAnsi="Arial" w:cs="Arial"/>
          <w:color w:val="000000" w:themeColor="text1"/>
          <w:sz w:val="20"/>
          <w:szCs w:val="20"/>
        </w:rPr>
        <w:t xml:space="preserve"> zkoušky pro nové certifikované školitele NEN.</w:t>
      </w:r>
    </w:p>
    <w:p w:rsidR="00665847" w:rsidRPr="00096612" w:rsidRDefault="00665847" w:rsidP="003074E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5847" w:rsidRPr="00096612" w:rsidRDefault="00665847" w:rsidP="00665847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Mimořádná provozní událost NEN </w:t>
      </w:r>
    </w:p>
    <w:p w:rsidR="00665847" w:rsidRPr="00096612" w:rsidRDefault="00665847" w:rsidP="003074E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K Mimořádné provozní události v systému NEN došlo dne 15. 2. 2019. Bližší inf</w:t>
      </w:r>
      <w:r w:rsidR="00A505CE">
        <w:rPr>
          <w:rFonts w:ascii="Arial" w:hAnsi="Arial" w:cs="Arial"/>
          <w:color w:val="000000" w:themeColor="text1"/>
          <w:sz w:val="20"/>
          <w:szCs w:val="20"/>
        </w:rPr>
        <w:t>ormace jsou uvedeny v kapitole 5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tohoto dokumentu.</w:t>
      </w:r>
    </w:p>
    <w:p w:rsidR="00665847" w:rsidRPr="00096612" w:rsidRDefault="00665847" w:rsidP="003074E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847B9" w:rsidRPr="00096612" w:rsidRDefault="00C847B9" w:rsidP="005925E9">
      <w:pPr>
        <w:pStyle w:val="Nadpis1"/>
        <w:pageBreakBefore/>
        <w:ind w:left="431" w:hanging="431"/>
        <w:rPr>
          <w:rFonts w:ascii="Arial" w:hAnsi="Arial" w:cs="Arial"/>
          <w:caps/>
          <w:color w:val="000000" w:themeColor="text1"/>
          <w:sz w:val="26"/>
          <w:szCs w:val="26"/>
        </w:rPr>
      </w:pPr>
      <w:bookmarkStart w:id="11" w:name="_Toc32600516"/>
      <w:bookmarkStart w:id="12" w:name="_Toc32600517"/>
      <w:bookmarkStart w:id="13" w:name="_Toc32600518"/>
      <w:bookmarkStart w:id="14" w:name="_Toc32600519"/>
      <w:bookmarkStart w:id="15" w:name="_Toc32600520"/>
      <w:bookmarkStart w:id="16" w:name="_Toc536525527"/>
      <w:bookmarkStart w:id="17" w:name="_Toc536525771"/>
      <w:bookmarkStart w:id="18" w:name="_Toc536525913"/>
      <w:bookmarkStart w:id="19" w:name="_Toc536525528"/>
      <w:bookmarkStart w:id="20" w:name="_Toc536525772"/>
      <w:bookmarkStart w:id="21" w:name="_Toc536525914"/>
      <w:bookmarkStart w:id="22" w:name="_Toc536525529"/>
      <w:bookmarkStart w:id="23" w:name="_Toc536525773"/>
      <w:bookmarkStart w:id="24" w:name="_Toc536525915"/>
      <w:bookmarkStart w:id="25" w:name="_Toc536525530"/>
      <w:bookmarkStart w:id="26" w:name="_Toc536525774"/>
      <w:bookmarkStart w:id="27" w:name="_Toc536525916"/>
      <w:bookmarkStart w:id="28" w:name="_Toc536525531"/>
      <w:bookmarkStart w:id="29" w:name="_Toc536525775"/>
      <w:bookmarkStart w:id="30" w:name="_Toc536525917"/>
      <w:bookmarkStart w:id="31" w:name="_Toc536525532"/>
      <w:bookmarkStart w:id="32" w:name="_Toc536525776"/>
      <w:bookmarkStart w:id="33" w:name="_Toc536525918"/>
      <w:bookmarkStart w:id="34" w:name="_Toc536525533"/>
      <w:bookmarkStart w:id="35" w:name="_Toc536525777"/>
      <w:bookmarkStart w:id="36" w:name="_Toc536525919"/>
      <w:bookmarkStart w:id="37" w:name="_Toc536525534"/>
      <w:bookmarkStart w:id="38" w:name="_Toc536525778"/>
      <w:bookmarkStart w:id="39" w:name="_Toc536525920"/>
      <w:bookmarkStart w:id="40" w:name="_Toc536525535"/>
      <w:bookmarkStart w:id="41" w:name="_Toc536525779"/>
      <w:bookmarkStart w:id="42" w:name="_Toc536525921"/>
      <w:bookmarkStart w:id="43" w:name="_Toc536525536"/>
      <w:bookmarkStart w:id="44" w:name="_Toc536525780"/>
      <w:bookmarkStart w:id="45" w:name="_Toc536525922"/>
      <w:bookmarkStart w:id="46" w:name="_Toc536525537"/>
      <w:bookmarkStart w:id="47" w:name="_Toc536525781"/>
      <w:bookmarkStart w:id="48" w:name="_Toc536525923"/>
      <w:bookmarkStart w:id="49" w:name="_Toc536525583"/>
      <w:bookmarkStart w:id="50" w:name="_Toc536525827"/>
      <w:bookmarkStart w:id="51" w:name="_Toc536525969"/>
      <w:bookmarkStart w:id="52" w:name="_Toc505859083"/>
      <w:bookmarkStart w:id="53" w:name="_Toc367985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lastRenderedPageBreak/>
        <w:t>správ</w:t>
      </w:r>
      <w:r w:rsidR="003D5188" w:rsidRPr="00096612">
        <w:rPr>
          <w:rFonts w:ascii="Arial" w:hAnsi="Arial" w:cs="Arial"/>
          <w:caps/>
          <w:color w:val="000000" w:themeColor="text1"/>
          <w:sz w:val="26"/>
          <w:szCs w:val="26"/>
        </w:rPr>
        <w:t>A</w:t>
      </w:r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t xml:space="preserve"> NEN</w:t>
      </w:r>
      <w:bookmarkEnd w:id="52"/>
      <w:bookmarkEnd w:id="53"/>
    </w:p>
    <w:p w:rsidR="00C847B9" w:rsidRPr="00096612" w:rsidRDefault="00C847B9" w:rsidP="00C847B9">
      <w:pPr>
        <w:rPr>
          <w:rFonts w:ascii="Arial" w:hAnsi="Arial" w:cs="Arial"/>
          <w:color w:val="000000" w:themeColor="text1"/>
        </w:rPr>
      </w:pPr>
      <w:bookmarkStart w:id="54" w:name="_Toc505859084"/>
    </w:p>
    <w:p w:rsidR="00C847B9" w:rsidRPr="00096612" w:rsidRDefault="00C847B9" w:rsidP="00C847B9">
      <w:pPr>
        <w:pStyle w:val="Nadpis2"/>
        <w:rPr>
          <w:rFonts w:ascii="Arial" w:hAnsi="Arial" w:cs="Arial"/>
          <w:caps/>
          <w:color w:val="000000" w:themeColor="text1"/>
          <w:sz w:val="24"/>
        </w:rPr>
      </w:pPr>
      <w:bookmarkStart w:id="55" w:name="_Toc36798596"/>
      <w:r w:rsidRPr="00096612">
        <w:rPr>
          <w:rFonts w:ascii="Arial" w:hAnsi="Arial" w:cs="Arial"/>
          <w:caps/>
          <w:color w:val="000000" w:themeColor="text1"/>
          <w:sz w:val="24"/>
        </w:rPr>
        <w:t>Přehled vykonaných činností Správce NEN</w:t>
      </w:r>
      <w:bookmarkEnd w:id="55"/>
    </w:p>
    <w:p w:rsidR="00C847B9" w:rsidRPr="00096612" w:rsidRDefault="00C847B9" w:rsidP="00C847B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14839" w:rsidRPr="00096612" w:rsidRDefault="00EA53E5" w:rsidP="00C847B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MMR zajišťuje jako S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 xml:space="preserve">právce NEN služby kontrolní, provozně-monitorovací, </w:t>
      </w:r>
      <w:proofErr w:type="spellStart"/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reportovací</w:t>
      </w:r>
      <w:proofErr w:type="spellEnd"/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, operativní, fakturační, metodické a vzdělávací, analytické, rozvojové, informační a administrativní. V roce 201</w:t>
      </w:r>
      <w:r w:rsidR="007E147D" w:rsidRPr="00096612">
        <w:rPr>
          <w:rFonts w:ascii="Arial" w:hAnsi="Arial" w:cs="Arial"/>
          <w:color w:val="000000" w:themeColor="text1"/>
          <w:sz w:val="20"/>
          <w:szCs w:val="20"/>
        </w:rPr>
        <w:t>9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 xml:space="preserve"> pokračovalo v činnostech zahájených v předešlých letech a realizovalo zejména následující aktivity.</w:t>
      </w:r>
    </w:p>
    <w:p w:rsidR="0002590B" w:rsidRPr="00096612" w:rsidRDefault="0002590B" w:rsidP="00C847B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847B9" w:rsidRPr="00096612" w:rsidRDefault="003105F6" w:rsidP="00714839">
      <w:pPr>
        <w:pStyle w:val="Nadpis3"/>
        <w:rPr>
          <w:rFonts w:ascii="Arial" w:hAnsi="Arial" w:cs="Arial"/>
          <w:color w:val="000000" w:themeColor="text1"/>
          <w:sz w:val="20"/>
          <w:szCs w:val="20"/>
        </w:rPr>
      </w:pPr>
      <w:bookmarkStart w:id="56" w:name="_Toc36798597"/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AKTUALIZACE 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USNESENÍ VLÁDY O ULOŽENÍ POVINNOSTI VYUŽÍVAT NEN PŘI ZADÁVÁNÍ VEŘEJNÝCH ZAKÁZEK</w:t>
      </w:r>
      <w:bookmarkEnd w:id="56"/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847B9" w:rsidRPr="00096612" w:rsidRDefault="00C847B9" w:rsidP="00C847B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:rsidR="00B04A55" w:rsidRPr="00096612" w:rsidRDefault="003105F6" w:rsidP="003074ED">
      <w:pPr>
        <w:spacing w:before="24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Dne 19. </w:t>
      </w:r>
      <w:r w:rsidR="00640B15" w:rsidRPr="00096612">
        <w:rPr>
          <w:rFonts w:ascii="Arial" w:hAnsi="Arial" w:cs="Arial"/>
          <w:color w:val="000000" w:themeColor="text1"/>
          <w:sz w:val="20"/>
          <w:szCs w:val="20"/>
        </w:rPr>
        <w:t>6.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2018 bylo přijato usnesení vlády č. 408, o z</w:t>
      </w:r>
      <w:r w:rsidR="00714839" w:rsidRPr="00096612">
        <w:rPr>
          <w:rFonts w:ascii="Arial" w:hAnsi="Arial" w:cs="Arial"/>
          <w:color w:val="000000" w:themeColor="text1"/>
          <w:sz w:val="20"/>
          <w:szCs w:val="20"/>
        </w:rPr>
        <w:t>měně usnesení vlády ze dne 21. 6. 2017 č. 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467, o uložení povinnosti využívat Národní elektronický nástroj při zadávání veřejných zakázek.</w:t>
      </w:r>
      <w:r w:rsidR="00714839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E147D" w:rsidRPr="00096612" w:rsidRDefault="007E147D" w:rsidP="003074ED">
      <w:pPr>
        <w:spacing w:before="24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Na základě UV č. 408 požádalo několik ministerstev a jejich centrálních úřadů o výjimku z využívání NEN od 1. 7.</w:t>
      </w:r>
      <w:r w:rsidR="0002590B" w:rsidRPr="00096612">
        <w:rPr>
          <w:rFonts w:ascii="Arial" w:hAnsi="Arial" w:cs="Arial"/>
          <w:color w:val="000000" w:themeColor="text1"/>
          <w:sz w:val="20"/>
          <w:szCs w:val="20"/>
        </w:rPr>
        <w:t xml:space="preserve"> 2018. V následující tabulce č.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1</w:t>
      </w:r>
      <w:r w:rsidR="00E86105" w:rsidRPr="00096612">
        <w:rPr>
          <w:rFonts w:ascii="Arial" w:hAnsi="Arial" w:cs="Arial"/>
          <w:color w:val="000000" w:themeColor="text1"/>
          <w:sz w:val="20"/>
          <w:szCs w:val="20"/>
        </w:rPr>
        <w:t xml:space="preserve"> je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přehled žádostí o výjimku a jejich stavu </w:t>
      </w:r>
      <w:r w:rsidR="006E1A43" w:rsidRPr="0009661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ke dni 31. 12. 2019.</w:t>
      </w:r>
    </w:p>
    <w:p w:rsidR="00E618F2" w:rsidRPr="00096612" w:rsidRDefault="00E618F2" w:rsidP="00E618F2">
      <w:pPr>
        <w:spacing w:before="240" w:after="0"/>
        <w:jc w:val="both"/>
        <w:rPr>
          <w:rFonts w:cs="Arial"/>
          <w:b/>
          <w:color w:val="000000" w:themeColor="text1"/>
          <w:u w:val="single"/>
        </w:rPr>
      </w:pPr>
    </w:p>
    <w:p w:rsidR="00B04A55" w:rsidRPr="00096612" w:rsidRDefault="00B04A55" w:rsidP="00695823">
      <w:pPr>
        <w:pStyle w:val="Titulek"/>
        <w:keepNext/>
        <w:spacing w:after="0"/>
        <w:rPr>
          <w:rFonts w:ascii="Arial" w:hAnsi="Arial" w:cs="Arial"/>
          <w:color w:val="000000" w:themeColor="text1"/>
        </w:rPr>
      </w:pPr>
      <w:r w:rsidRPr="00096612">
        <w:rPr>
          <w:rFonts w:ascii="Arial" w:hAnsi="Arial" w:cs="Arial"/>
          <w:color w:val="000000" w:themeColor="text1"/>
        </w:rPr>
        <w:t xml:space="preserve">Tabulka č. </w:t>
      </w:r>
      <w:r w:rsidR="00BA11DE" w:rsidRPr="00096612">
        <w:rPr>
          <w:rFonts w:ascii="Arial" w:hAnsi="Arial" w:cs="Arial"/>
          <w:color w:val="000000" w:themeColor="text1"/>
        </w:rPr>
        <w:t xml:space="preserve">1 – </w:t>
      </w:r>
      <w:r w:rsidRPr="00096612">
        <w:rPr>
          <w:rFonts w:ascii="Arial" w:hAnsi="Arial" w:cs="Arial"/>
          <w:color w:val="000000" w:themeColor="text1"/>
        </w:rPr>
        <w:t>Žádosti o výjimku z využívání NEN</w:t>
      </w:r>
      <w:r w:rsidR="004F33E3" w:rsidRPr="00096612">
        <w:rPr>
          <w:rFonts w:ascii="Arial" w:hAnsi="Arial" w:cs="Arial"/>
          <w:color w:val="000000" w:themeColor="text1"/>
        </w:rPr>
        <w:t xml:space="preserve"> </w:t>
      </w:r>
      <w:r w:rsidRPr="00096612">
        <w:rPr>
          <w:rFonts w:ascii="Arial" w:hAnsi="Arial" w:cs="Arial"/>
          <w:color w:val="000000" w:themeColor="text1"/>
        </w:rPr>
        <w:t>– Přehled ministerstev a centrálních úřadů</w:t>
      </w:r>
    </w:p>
    <w:tbl>
      <w:tblPr>
        <w:tblStyle w:val="Mkatabulky"/>
        <w:tblW w:w="9002" w:type="dxa"/>
        <w:tblLayout w:type="fixed"/>
        <w:tblLook w:val="04A0" w:firstRow="1" w:lastRow="0" w:firstColumn="1" w:lastColumn="0" w:noHBand="0" w:noVBand="1"/>
      </w:tblPr>
      <w:tblGrid>
        <w:gridCol w:w="3117"/>
        <w:gridCol w:w="3183"/>
        <w:gridCol w:w="2702"/>
      </w:tblGrid>
      <w:tr w:rsidR="00262711" w:rsidRPr="00096612" w:rsidTr="00DF3139">
        <w:trPr>
          <w:trHeight w:val="497"/>
        </w:trPr>
        <w:tc>
          <w:tcPr>
            <w:tcW w:w="3117" w:type="dxa"/>
            <w:shd w:val="clear" w:color="auto" w:fill="DEEAF6" w:themeFill="accent1" w:themeFillTint="33"/>
          </w:tcPr>
          <w:p w:rsidR="00262711" w:rsidRPr="00096612" w:rsidRDefault="00262711" w:rsidP="00121592">
            <w:pPr>
              <w:rPr>
                <w:b/>
                <w:color w:val="000000" w:themeColor="text1"/>
              </w:rPr>
            </w:pPr>
            <w:r w:rsidRPr="00096612">
              <w:rPr>
                <w:b/>
                <w:color w:val="000000" w:themeColor="text1"/>
              </w:rPr>
              <w:t xml:space="preserve">Rezort </w:t>
            </w:r>
          </w:p>
        </w:tc>
        <w:tc>
          <w:tcPr>
            <w:tcW w:w="3183" w:type="dxa"/>
            <w:shd w:val="clear" w:color="auto" w:fill="DEEAF6" w:themeFill="accent1" w:themeFillTint="33"/>
          </w:tcPr>
          <w:p w:rsidR="00262711" w:rsidRPr="00096612" w:rsidRDefault="00262711" w:rsidP="00121592">
            <w:pPr>
              <w:rPr>
                <w:b/>
                <w:color w:val="000000" w:themeColor="text1"/>
              </w:rPr>
            </w:pPr>
            <w:r w:rsidRPr="00096612">
              <w:rPr>
                <w:b/>
                <w:color w:val="000000" w:themeColor="text1"/>
              </w:rPr>
              <w:t xml:space="preserve">Datum podání/aktualizace </w:t>
            </w:r>
          </w:p>
        </w:tc>
        <w:tc>
          <w:tcPr>
            <w:tcW w:w="2702" w:type="dxa"/>
            <w:shd w:val="clear" w:color="auto" w:fill="DEEAF6" w:themeFill="accent1" w:themeFillTint="33"/>
          </w:tcPr>
          <w:p w:rsidR="00262711" w:rsidRPr="00096612" w:rsidRDefault="00262711" w:rsidP="00121592">
            <w:pPr>
              <w:rPr>
                <w:b/>
                <w:color w:val="000000" w:themeColor="text1"/>
              </w:rPr>
            </w:pPr>
            <w:r w:rsidRPr="00096612">
              <w:rPr>
                <w:b/>
                <w:color w:val="000000" w:themeColor="text1"/>
              </w:rPr>
              <w:t>Projednání vládou</w:t>
            </w:r>
          </w:p>
        </w:tc>
      </w:tr>
      <w:tr w:rsidR="00262711" w:rsidRPr="00096612" w:rsidTr="00DF3139">
        <w:trPr>
          <w:trHeight w:val="616"/>
        </w:trPr>
        <w:tc>
          <w:tcPr>
            <w:tcW w:w="3117" w:type="dxa"/>
          </w:tcPr>
          <w:p w:rsidR="00262711" w:rsidRPr="00096612" w:rsidRDefault="00262711" w:rsidP="00121592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 xml:space="preserve">ŘSD </w:t>
            </w:r>
          </w:p>
        </w:tc>
        <w:tc>
          <w:tcPr>
            <w:tcW w:w="3183" w:type="dxa"/>
          </w:tcPr>
          <w:p w:rsidR="00262711" w:rsidRPr="00096612" w:rsidRDefault="00262711" w:rsidP="00262711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 xml:space="preserve">12. 6. 2018 </w:t>
            </w:r>
          </w:p>
        </w:tc>
        <w:tc>
          <w:tcPr>
            <w:tcW w:w="2702" w:type="dxa"/>
          </w:tcPr>
          <w:p w:rsidR="00262711" w:rsidRPr="00096612" w:rsidRDefault="00262711" w:rsidP="00121592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>ANO/ schváleno</w:t>
            </w:r>
          </w:p>
        </w:tc>
      </w:tr>
      <w:tr w:rsidR="00262711" w:rsidRPr="00096612" w:rsidTr="00DF3139">
        <w:trPr>
          <w:trHeight w:val="616"/>
        </w:trPr>
        <w:tc>
          <w:tcPr>
            <w:tcW w:w="3117" w:type="dxa"/>
          </w:tcPr>
          <w:p w:rsidR="00262711" w:rsidRPr="00096612" w:rsidRDefault="00262711" w:rsidP="00121592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>Ministerstvo dopravy</w:t>
            </w:r>
          </w:p>
        </w:tc>
        <w:tc>
          <w:tcPr>
            <w:tcW w:w="3183" w:type="dxa"/>
          </w:tcPr>
          <w:p w:rsidR="00262711" w:rsidRPr="00096612" w:rsidRDefault="00262711" w:rsidP="00121592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>12. 6. 2018</w:t>
            </w:r>
          </w:p>
        </w:tc>
        <w:tc>
          <w:tcPr>
            <w:tcW w:w="2702" w:type="dxa"/>
          </w:tcPr>
          <w:p w:rsidR="00262711" w:rsidRPr="00096612" w:rsidRDefault="00262711" w:rsidP="00121592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>NE</w:t>
            </w:r>
            <w:r w:rsidRPr="00096612" w:rsidDel="00F02E7B">
              <w:rPr>
                <w:color w:val="000000" w:themeColor="text1"/>
              </w:rPr>
              <w:t xml:space="preserve"> </w:t>
            </w:r>
          </w:p>
        </w:tc>
      </w:tr>
      <w:tr w:rsidR="00262711" w:rsidRPr="00096612" w:rsidTr="00DF3139">
        <w:trPr>
          <w:trHeight w:val="273"/>
        </w:trPr>
        <w:tc>
          <w:tcPr>
            <w:tcW w:w="3117" w:type="dxa"/>
          </w:tcPr>
          <w:p w:rsidR="00262711" w:rsidRPr="00096612" w:rsidRDefault="00262711" w:rsidP="00121592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>Ministerstvo zdravotnictví</w:t>
            </w:r>
          </w:p>
        </w:tc>
        <w:tc>
          <w:tcPr>
            <w:tcW w:w="3183" w:type="dxa"/>
          </w:tcPr>
          <w:p w:rsidR="00262711" w:rsidRPr="00096612" w:rsidRDefault="00262711" w:rsidP="00121592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 xml:space="preserve">25. 6. 2018 </w:t>
            </w:r>
          </w:p>
        </w:tc>
        <w:tc>
          <w:tcPr>
            <w:tcW w:w="2702" w:type="dxa"/>
          </w:tcPr>
          <w:p w:rsidR="00262711" w:rsidRPr="00096612" w:rsidRDefault="00262711" w:rsidP="00121592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>NE</w:t>
            </w:r>
            <w:r w:rsidRPr="00096612" w:rsidDel="00F02E7B">
              <w:rPr>
                <w:color w:val="000000" w:themeColor="text1"/>
              </w:rPr>
              <w:t xml:space="preserve"> </w:t>
            </w:r>
          </w:p>
        </w:tc>
      </w:tr>
      <w:tr w:rsidR="00262711" w:rsidRPr="00096612" w:rsidTr="00DF3139">
        <w:trPr>
          <w:trHeight w:val="307"/>
        </w:trPr>
        <w:tc>
          <w:tcPr>
            <w:tcW w:w="3117" w:type="dxa"/>
          </w:tcPr>
          <w:p w:rsidR="00262711" w:rsidRPr="00096612" w:rsidRDefault="00262711" w:rsidP="00F02E7B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 xml:space="preserve">Ministerstvo zemědělství </w:t>
            </w:r>
          </w:p>
        </w:tc>
        <w:tc>
          <w:tcPr>
            <w:tcW w:w="3183" w:type="dxa"/>
          </w:tcPr>
          <w:p w:rsidR="00262711" w:rsidRPr="00096612" w:rsidRDefault="00262711" w:rsidP="00F02E7B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>21. 6. 2018</w:t>
            </w:r>
          </w:p>
        </w:tc>
        <w:tc>
          <w:tcPr>
            <w:tcW w:w="2702" w:type="dxa"/>
          </w:tcPr>
          <w:p w:rsidR="00262711" w:rsidRPr="00096612" w:rsidRDefault="00262711" w:rsidP="00F02E7B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>NE</w:t>
            </w:r>
          </w:p>
        </w:tc>
      </w:tr>
      <w:tr w:rsidR="00262711" w:rsidRPr="00096612" w:rsidTr="00DF3139">
        <w:trPr>
          <w:trHeight w:val="290"/>
        </w:trPr>
        <w:tc>
          <w:tcPr>
            <w:tcW w:w="3117" w:type="dxa"/>
          </w:tcPr>
          <w:p w:rsidR="00262711" w:rsidRPr="00096612" w:rsidRDefault="00262711" w:rsidP="00F02E7B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>Úřad vlády</w:t>
            </w:r>
          </w:p>
        </w:tc>
        <w:tc>
          <w:tcPr>
            <w:tcW w:w="3183" w:type="dxa"/>
          </w:tcPr>
          <w:p w:rsidR="00262711" w:rsidRPr="00096612" w:rsidRDefault="00262711" w:rsidP="00F02E7B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 xml:space="preserve">28. 6. 2018 </w:t>
            </w:r>
          </w:p>
        </w:tc>
        <w:tc>
          <w:tcPr>
            <w:tcW w:w="2702" w:type="dxa"/>
          </w:tcPr>
          <w:p w:rsidR="00262711" w:rsidRPr="00096612" w:rsidRDefault="00262711" w:rsidP="00F02E7B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>NE</w:t>
            </w:r>
          </w:p>
        </w:tc>
      </w:tr>
      <w:tr w:rsidR="00262711" w:rsidRPr="00096612" w:rsidTr="00DF3139">
        <w:trPr>
          <w:trHeight w:val="307"/>
        </w:trPr>
        <w:tc>
          <w:tcPr>
            <w:tcW w:w="3117" w:type="dxa"/>
          </w:tcPr>
          <w:p w:rsidR="00262711" w:rsidRPr="00096612" w:rsidRDefault="00262711" w:rsidP="00F02E7B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 xml:space="preserve">Technologická agentura ČR (MPO) </w:t>
            </w:r>
          </w:p>
        </w:tc>
        <w:tc>
          <w:tcPr>
            <w:tcW w:w="3183" w:type="dxa"/>
          </w:tcPr>
          <w:p w:rsidR="00262711" w:rsidRPr="00096612" w:rsidRDefault="00262711" w:rsidP="00F02E7B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 xml:space="preserve">29. 6. 2018 </w:t>
            </w:r>
          </w:p>
        </w:tc>
        <w:tc>
          <w:tcPr>
            <w:tcW w:w="2702" w:type="dxa"/>
          </w:tcPr>
          <w:p w:rsidR="00262711" w:rsidRPr="00096612" w:rsidRDefault="00262711" w:rsidP="00F02E7B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>NE</w:t>
            </w:r>
          </w:p>
        </w:tc>
      </w:tr>
      <w:tr w:rsidR="00262711" w:rsidRPr="00096612" w:rsidTr="00DF3139">
        <w:trPr>
          <w:trHeight w:val="537"/>
        </w:trPr>
        <w:tc>
          <w:tcPr>
            <w:tcW w:w="3117" w:type="dxa"/>
          </w:tcPr>
          <w:p w:rsidR="00262711" w:rsidRPr="00096612" w:rsidRDefault="00262711" w:rsidP="00F02E7B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 xml:space="preserve">Ministerstvo průmyslu a obchodu </w:t>
            </w:r>
          </w:p>
        </w:tc>
        <w:tc>
          <w:tcPr>
            <w:tcW w:w="3183" w:type="dxa"/>
          </w:tcPr>
          <w:p w:rsidR="00262711" w:rsidRPr="00096612" w:rsidRDefault="00262711" w:rsidP="00F02E7B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 xml:space="preserve">3. 7. 2018 </w:t>
            </w:r>
          </w:p>
        </w:tc>
        <w:tc>
          <w:tcPr>
            <w:tcW w:w="2702" w:type="dxa"/>
          </w:tcPr>
          <w:p w:rsidR="00262711" w:rsidRPr="00096612" w:rsidRDefault="00262711" w:rsidP="00F02E7B">
            <w:pPr>
              <w:rPr>
                <w:color w:val="000000" w:themeColor="text1"/>
              </w:rPr>
            </w:pPr>
            <w:r w:rsidRPr="00096612">
              <w:rPr>
                <w:color w:val="000000" w:themeColor="text1"/>
              </w:rPr>
              <w:t>NE</w:t>
            </w:r>
          </w:p>
        </w:tc>
      </w:tr>
    </w:tbl>
    <w:p w:rsidR="00D64972" w:rsidRPr="00096612" w:rsidRDefault="00D64972" w:rsidP="00A63CDF">
      <w:pPr>
        <w:pStyle w:val="Nadpis3"/>
        <w:numPr>
          <w:ilvl w:val="0"/>
          <w:numId w:val="0"/>
        </w:numPr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D64972" w:rsidRPr="00096612" w:rsidRDefault="00D64972">
      <w:pPr>
        <w:spacing w:after="160" w:line="259" w:lineRule="auto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C847B9" w:rsidRPr="00096612" w:rsidRDefault="00C847B9" w:rsidP="00C847B9">
      <w:pPr>
        <w:pStyle w:val="Nadpis3"/>
        <w:rPr>
          <w:rFonts w:ascii="Arial" w:hAnsi="Arial" w:cs="Arial"/>
          <w:color w:val="000000" w:themeColor="text1"/>
          <w:sz w:val="20"/>
          <w:szCs w:val="20"/>
        </w:rPr>
      </w:pPr>
      <w:bookmarkStart w:id="57" w:name="_Toc36798598"/>
      <w:r w:rsidRPr="00096612">
        <w:rPr>
          <w:rFonts w:ascii="Arial" w:hAnsi="Arial" w:cs="Arial"/>
          <w:color w:val="000000" w:themeColor="text1"/>
          <w:sz w:val="20"/>
          <w:szCs w:val="20"/>
        </w:rPr>
        <w:lastRenderedPageBreak/>
        <w:t>AKTUALIZACE SYSTÉMU NEN</w:t>
      </w:r>
      <w:bookmarkEnd w:id="57"/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2590B" w:rsidRPr="00096612" w:rsidRDefault="0002590B" w:rsidP="0002590B">
      <w:pPr>
        <w:rPr>
          <w:color w:val="000000" w:themeColor="text1"/>
        </w:rPr>
      </w:pPr>
    </w:p>
    <w:p w:rsidR="00590B36" w:rsidRPr="00096612" w:rsidRDefault="00590B36" w:rsidP="00590B3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V roce 201</w:t>
      </w:r>
      <w:r w:rsidR="007E147D" w:rsidRPr="00096612">
        <w:rPr>
          <w:rFonts w:ascii="Arial" w:hAnsi="Arial" w:cs="Arial"/>
          <w:color w:val="000000" w:themeColor="text1"/>
          <w:sz w:val="20"/>
          <w:szCs w:val="20"/>
        </w:rPr>
        <w:t>9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byl systém NEN několikrát optimalizován a upgradován prostřednictvím nasazení následujících </w:t>
      </w:r>
      <w:r w:rsidR="00EC0C6C" w:rsidRPr="00096612">
        <w:rPr>
          <w:rFonts w:ascii="Arial" w:hAnsi="Arial" w:cs="Arial"/>
          <w:color w:val="000000" w:themeColor="text1"/>
          <w:sz w:val="20"/>
          <w:szCs w:val="20"/>
        </w:rPr>
        <w:t>změnových požadavků:</w:t>
      </w:r>
    </w:p>
    <w:p w:rsidR="00EC0C6C" w:rsidRPr="00096612" w:rsidRDefault="00EC0C6C" w:rsidP="003074ED">
      <w:pPr>
        <w:numPr>
          <w:ilvl w:val="0"/>
          <w:numId w:val="15"/>
        </w:numPr>
        <w:spacing w:after="120" w:line="28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>HTML 5 Dodavatel</w:t>
      </w:r>
    </w:p>
    <w:p w:rsidR="00EC0C6C" w:rsidRPr="00096612" w:rsidRDefault="00EC0C6C" w:rsidP="003074ED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Nasazení dodavatele v HTML 5 na produkční prostředí dne 25. 1. 2019</w:t>
      </w:r>
      <w:r w:rsidR="007714D1" w:rsidRPr="00096612">
        <w:rPr>
          <w:rFonts w:ascii="Arial" w:hAnsi="Arial" w:cs="Arial"/>
          <w:color w:val="000000" w:themeColor="text1"/>
          <w:sz w:val="20"/>
          <w:szCs w:val="20"/>
        </w:rPr>
        <w:t>.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C0C6C" w:rsidRPr="00096612" w:rsidRDefault="00EC0C6C" w:rsidP="003074ED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Portál dodavatele v HTML 5 umožňuje uživateli pracovat </w:t>
      </w:r>
      <w:r w:rsidR="00325739" w:rsidRPr="00096612">
        <w:rPr>
          <w:rFonts w:ascii="Arial" w:hAnsi="Arial" w:cs="Arial"/>
          <w:color w:val="000000" w:themeColor="text1"/>
          <w:sz w:val="20"/>
          <w:szCs w:val="20"/>
        </w:rPr>
        <w:t>s aplikací NEN i</w:t>
      </w:r>
      <w:r w:rsidR="0001440C" w:rsidRPr="00096612">
        <w:rPr>
          <w:rFonts w:ascii="Arial" w:hAnsi="Arial" w:cs="Arial"/>
          <w:color w:val="000000" w:themeColor="text1"/>
          <w:sz w:val="20"/>
          <w:szCs w:val="20"/>
        </w:rPr>
        <w:t> </w:t>
      </w:r>
      <w:r w:rsidR="00325739" w:rsidRPr="00096612">
        <w:rPr>
          <w:rFonts w:ascii="Arial" w:hAnsi="Arial" w:cs="Arial"/>
          <w:color w:val="000000" w:themeColor="text1"/>
          <w:sz w:val="20"/>
          <w:szCs w:val="20"/>
        </w:rPr>
        <w:t xml:space="preserve">v ostatních internetových </w:t>
      </w:r>
      <w:r w:rsidR="00786A61" w:rsidRPr="00096612">
        <w:rPr>
          <w:rFonts w:ascii="Arial" w:hAnsi="Arial" w:cs="Arial"/>
          <w:color w:val="000000" w:themeColor="text1"/>
          <w:sz w:val="20"/>
          <w:szCs w:val="20"/>
        </w:rPr>
        <w:t>prohlížečích</w:t>
      </w:r>
      <w:r w:rsidR="0001440C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C0C6C" w:rsidRDefault="00EC0C6C" w:rsidP="003074ED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Díky nasazení došlo ke zvýšení uživatelské přívětivosti, zejména kritických úkonů jako je podání nabídky, nastavení informačního servisu, nastavení notifikací a</w:t>
      </w:r>
      <w:r w:rsidR="0001440C" w:rsidRPr="0009661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přístupových oprávnění</w:t>
      </w:r>
      <w:r w:rsidR="00841273" w:rsidRPr="00096612">
        <w:rPr>
          <w:rFonts w:ascii="Arial" w:hAnsi="Arial" w:cs="Arial"/>
          <w:color w:val="000000" w:themeColor="text1"/>
          <w:sz w:val="20"/>
          <w:szCs w:val="20"/>
        </w:rPr>
        <w:t>, zjednodušení úkonů, při kterých je vyžadováno šifrování</w:t>
      </w:r>
      <w:r w:rsidR="0001440C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726F8" w:rsidRPr="00096612" w:rsidRDefault="003726F8" w:rsidP="003726F8">
      <w:pPr>
        <w:spacing w:after="120" w:line="280" w:lineRule="exact"/>
        <w:ind w:left="163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01E48" w:rsidRPr="00096612" w:rsidRDefault="00A01E48" w:rsidP="00683B78">
      <w:pPr>
        <w:numPr>
          <w:ilvl w:val="0"/>
          <w:numId w:val="15"/>
        </w:numPr>
        <w:spacing w:after="120" w:line="28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>HTML 5 Zadavatel</w:t>
      </w:r>
    </w:p>
    <w:p w:rsidR="00A01E48" w:rsidRPr="00096612" w:rsidRDefault="00315C8B" w:rsidP="00683B78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Dne 29. 11. 2019 došlo k nasazení nové verze pro zadavatele v HTML5 na referenční prostředí NEN – současně s novou verzí zadavatele je nadále funkční původní verze (dostupná pouze v Internet Explorer s nainstalovaným MS </w:t>
      </w:r>
      <w:proofErr w:type="spellStart"/>
      <w:r w:rsidRPr="00096612">
        <w:rPr>
          <w:rFonts w:ascii="Arial" w:hAnsi="Arial" w:cs="Arial"/>
          <w:color w:val="000000" w:themeColor="text1"/>
          <w:sz w:val="20"/>
          <w:szCs w:val="20"/>
        </w:rPr>
        <w:t>Silverlig</w:t>
      </w:r>
      <w:r w:rsidR="006E1A43" w:rsidRPr="00096612">
        <w:rPr>
          <w:rFonts w:ascii="Arial" w:hAnsi="Arial" w:cs="Arial"/>
          <w:color w:val="000000" w:themeColor="text1"/>
          <w:sz w:val="20"/>
          <w:szCs w:val="20"/>
        </w:rPr>
        <w:t>h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t</w:t>
      </w:r>
      <w:proofErr w:type="spellEnd"/>
      <w:r w:rsidRPr="00096612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7520B6" w:rsidRDefault="007520B6" w:rsidP="007520B6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036E53" w:rsidRPr="00096612">
        <w:rPr>
          <w:rFonts w:ascii="Arial" w:hAnsi="Arial" w:cs="Arial"/>
          <w:color w:val="000000" w:themeColor="text1"/>
          <w:sz w:val="20"/>
          <w:szCs w:val="20"/>
        </w:rPr>
        <w:t>31.</w:t>
      </w:r>
      <w:r w:rsidR="005152E6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6E53" w:rsidRPr="00096612">
        <w:rPr>
          <w:rFonts w:ascii="Arial" w:hAnsi="Arial" w:cs="Arial"/>
          <w:color w:val="000000" w:themeColor="text1"/>
          <w:sz w:val="20"/>
          <w:szCs w:val="20"/>
        </w:rPr>
        <w:t>12.</w:t>
      </w:r>
      <w:r w:rsidR="005152E6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6E53" w:rsidRPr="00096612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je plánováno začlenění veškerých funkcionalit verze MS </w:t>
      </w:r>
      <w:proofErr w:type="spellStart"/>
      <w:r w:rsidRPr="00096612">
        <w:rPr>
          <w:rFonts w:ascii="Arial" w:hAnsi="Arial" w:cs="Arial"/>
          <w:color w:val="000000" w:themeColor="text1"/>
          <w:sz w:val="20"/>
          <w:szCs w:val="20"/>
        </w:rPr>
        <w:t>Sliverlight</w:t>
      </w:r>
      <w:proofErr w:type="spellEnd"/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do verze HTML5</w:t>
      </w:r>
      <w:r w:rsidR="003726F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726F8" w:rsidRPr="00096612" w:rsidRDefault="003726F8" w:rsidP="003726F8">
      <w:pPr>
        <w:spacing w:after="120" w:line="280" w:lineRule="exact"/>
        <w:ind w:left="163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BE9" w:rsidRPr="00096612" w:rsidRDefault="00B06F96" w:rsidP="00345BE9">
      <w:pPr>
        <w:pStyle w:val="Odstavecseseznamem"/>
        <w:numPr>
          <w:ilvl w:val="0"/>
          <w:numId w:val="15"/>
        </w:numPr>
        <w:spacing w:after="120" w:line="28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>Dále byl systém NEN aktualizován v dalších důležitých aspektech jeho fungování:</w:t>
      </w:r>
    </w:p>
    <w:p w:rsidR="00B06F96" w:rsidRPr="00096612" w:rsidRDefault="00B06F96" w:rsidP="00B06F96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Změna v šifrování – technologické změny u šifrování, které se používá zejména  při podání nabídek</w:t>
      </w:r>
      <w:r w:rsidR="0001440C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06F96" w:rsidRPr="00096612" w:rsidRDefault="00B06F96" w:rsidP="00B06F96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Vyhledávání dodavatelů dle číselníků NIPEZ/CPV</w:t>
      </w:r>
      <w:r w:rsidR="0001440C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06F96" w:rsidRPr="00096612" w:rsidRDefault="00B06F96" w:rsidP="00B06F96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Posouzení splnění podmínek účasti – změna na pozitivní výběr</w:t>
      </w:r>
      <w:r w:rsidR="0001440C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06F96" w:rsidRPr="00096612" w:rsidRDefault="00B06F96" w:rsidP="00B06F96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Úprava notifikací – zasílání jen u zakázek, které má zadavatel přiřazeny do složky „Mé zadávací postupy“</w:t>
      </w:r>
      <w:r w:rsidR="0001440C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06F96" w:rsidRPr="00096612" w:rsidRDefault="00B06F96" w:rsidP="00B06F96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Možnost resetu zapomenutého hesla uživatelem</w:t>
      </w:r>
      <w:r w:rsidR="0001440C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65847" w:rsidRDefault="00B06F96" w:rsidP="00665847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Bezpečnostní aktualizace NEN</w:t>
      </w:r>
      <w:r w:rsidR="003726F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726F8" w:rsidRPr="00096612" w:rsidRDefault="003726F8" w:rsidP="003726F8">
      <w:pPr>
        <w:spacing w:after="120" w:line="280" w:lineRule="exact"/>
        <w:ind w:left="163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671D" w:rsidRPr="00096612" w:rsidRDefault="00E3671D" w:rsidP="00665847">
      <w:pPr>
        <w:pStyle w:val="Odstavecseseznamem"/>
        <w:numPr>
          <w:ilvl w:val="0"/>
          <w:numId w:val="15"/>
        </w:numPr>
        <w:spacing w:after="120" w:line="28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>V roce 201</w:t>
      </w:r>
      <w:r w:rsidR="004D78CF" w:rsidRPr="00096612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 byly aktualizovány </w:t>
      </w:r>
      <w:r w:rsidR="00597B0A" w:rsidRPr="00096612">
        <w:rPr>
          <w:rFonts w:ascii="Arial" w:hAnsi="Arial" w:cs="Arial"/>
          <w:b/>
          <w:color w:val="000000" w:themeColor="text1"/>
          <w:sz w:val="20"/>
          <w:szCs w:val="20"/>
        </w:rPr>
        <w:t>nebo</w:t>
      </w: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 vytvořeny tyto příručky:</w:t>
      </w:r>
    </w:p>
    <w:p w:rsidR="00841273" w:rsidRPr="00096612" w:rsidRDefault="00841273" w:rsidP="00665847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Příručka připojení IEN (aktua</w:t>
      </w:r>
      <w:r w:rsidR="003726F8">
        <w:rPr>
          <w:rFonts w:ascii="Arial" w:hAnsi="Arial" w:cs="Arial"/>
          <w:color w:val="000000" w:themeColor="text1"/>
          <w:sz w:val="20"/>
          <w:szCs w:val="20"/>
        </w:rPr>
        <w:t>lizace).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41273" w:rsidRPr="00096612" w:rsidRDefault="00841273" w:rsidP="00665847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Příručka pro zjednoduše</w:t>
      </w:r>
      <w:r w:rsidR="003726F8">
        <w:rPr>
          <w:rFonts w:ascii="Arial" w:hAnsi="Arial" w:cs="Arial"/>
          <w:color w:val="000000" w:themeColor="text1"/>
          <w:sz w:val="20"/>
          <w:szCs w:val="20"/>
        </w:rPr>
        <w:t>ný průchod – evidence VZ (nová).</w:t>
      </w:r>
    </w:p>
    <w:p w:rsidR="00841273" w:rsidRPr="00096612" w:rsidRDefault="003726F8" w:rsidP="00665847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Příručka pro evidenci ZP (nová).</w:t>
      </w:r>
    </w:p>
    <w:p w:rsidR="00841273" w:rsidRPr="00096612" w:rsidRDefault="00841273" w:rsidP="00665847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Příručka pro dodavatele – HTML5 (aktualizace).</w:t>
      </w:r>
    </w:p>
    <w:p w:rsidR="002C4190" w:rsidRPr="00096612" w:rsidRDefault="00841273" w:rsidP="00665847">
      <w:pPr>
        <w:numPr>
          <w:ilvl w:val="0"/>
          <w:numId w:val="37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Provozní řád NEN</w:t>
      </w:r>
      <w:r w:rsidR="004F33E3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(aktualizace).</w:t>
      </w:r>
      <w:bookmarkStart w:id="58" w:name="_Toc536525588"/>
      <w:bookmarkStart w:id="59" w:name="_Toc536525832"/>
      <w:bookmarkStart w:id="60" w:name="_Toc536525974"/>
      <w:bookmarkEnd w:id="58"/>
      <w:bookmarkEnd w:id="59"/>
      <w:bookmarkEnd w:id="60"/>
    </w:p>
    <w:p w:rsidR="006832C2" w:rsidRPr="00096612" w:rsidRDefault="006832C2" w:rsidP="00C847B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1" w:name="_Toc536525590"/>
      <w:bookmarkStart w:id="62" w:name="_Toc536525834"/>
      <w:bookmarkStart w:id="63" w:name="_Toc536525976"/>
      <w:bookmarkStart w:id="64" w:name="_Toc536525591"/>
      <w:bookmarkStart w:id="65" w:name="_Toc536525835"/>
      <w:bookmarkStart w:id="66" w:name="_Toc536525977"/>
      <w:bookmarkStart w:id="67" w:name="_Toc536525592"/>
      <w:bookmarkStart w:id="68" w:name="_Toc536525836"/>
      <w:bookmarkStart w:id="69" w:name="_Toc536525978"/>
      <w:bookmarkStart w:id="70" w:name="_Toc536525593"/>
      <w:bookmarkStart w:id="71" w:name="_Toc536525837"/>
      <w:bookmarkStart w:id="72" w:name="_Toc536525979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832C2" w:rsidRPr="00096612" w:rsidRDefault="006832C2" w:rsidP="00C847B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560CB" w:rsidRPr="00096612" w:rsidRDefault="00B62A69" w:rsidP="00455887">
      <w:pPr>
        <w:pStyle w:val="Nadpis3"/>
        <w:rPr>
          <w:rFonts w:ascii="Arial" w:hAnsi="Arial" w:cs="Arial"/>
          <w:color w:val="000000" w:themeColor="text1"/>
          <w:sz w:val="20"/>
          <w:szCs w:val="20"/>
        </w:rPr>
      </w:pPr>
      <w:bookmarkStart w:id="73" w:name="_Toc36798599"/>
      <w:r w:rsidRPr="0009661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DALŠÍ AKTIVITY </w:t>
      </w:r>
      <w:r w:rsidR="00007BCF" w:rsidRPr="00096612">
        <w:rPr>
          <w:rFonts w:ascii="Arial" w:hAnsi="Arial" w:cs="Arial"/>
          <w:color w:val="000000" w:themeColor="text1"/>
          <w:sz w:val="20"/>
          <w:szCs w:val="20"/>
        </w:rPr>
        <w:t xml:space="preserve">ODBORU </w:t>
      </w:r>
      <w:r w:rsidR="00786A61" w:rsidRPr="00096612">
        <w:rPr>
          <w:rFonts w:ascii="Arial" w:hAnsi="Arial" w:cs="Arial"/>
          <w:color w:val="000000" w:themeColor="text1"/>
          <w:sz w:val="20"/>
          <w:szCs w:val="20"/>
        </w:rPr>
        <w:t>NÁRODNÍCH A EU INFORMAČNÍCH SYSTÉMŮ</w:t>
      </w:r>
      <w:bookmarkEnd w:id="73"/>
    </w:p>
    <w:p w:rsidR="00455887" w:rsidRPr="00096612" w:rsidRDefault="00455887" w:rsidP="003074ED">
      <w:pPr>
        <w:pStyle w:val="Nadpis3"/>
        <w:numPr>
          <w:ilvl w:val="0"/>
          <w:numId w:val="0"/>
        </w:numPr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3A1EE8" w:rsidRPr="00096612" w:rsidRDefault="008560CB" w:rsidP="00B301D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>Příprava portálu HTML 5 pro zadavatele</w:t>
      </w:r>
      <w:r w:rsidR="003A1EE8"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 a kategorizace </w:t>
      </w:r>
      <w:r w:rsidR="00325739"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rozvojových </w:t>
      </w:r>
      <w:r w:rsidR="003A1EE8"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požadavků </w:t>
      </w:r>
    </w:p>
    <w:p w:rsidR="007901D3" w:rsidRPr="00096612" w:rsidRDefault="007901D3" w:rsidP="00890E5D">
      <w:pPr>
        <w:numPr>
          <w:ilvl w:val="1"/>
          <w:numId w:val="2"/>
        </w:numPr>
        <w:spacing w:after="0"/>
        <w:ind w:left="1633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V roce 2019 probíhala příprava nové verze NEN – tzv. HTML 5 verze pro zadavatele</w:t>
      </w:r>
      <w:r w:rsidR="00FE22D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901D3" w:rsidRPr="00096612" w:rsidRDefault="007901D3" w:rsidP="00890E5D">
      <w:pPr>
        <w:numPr>
          <w:ilvl w:val="1"/>
          <w:numId w:val="2"/>
        </w:numPr>
        <w:spacing w:after="0"/>
        <w:ind w:left="1633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příprava probíhala i v návaznosti na požadavky uživatelů NEN</w:t>
      </w:r>
      <w:r w:rsidR="00FE22D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901D3" w:rsidRPr="00096612" w:rsidRDefault="00070608" w:rsidP="00890E5D">
      <w:pPr>
        <w:numPr>
          <w:ilvl w:val="1"/>
          <w:numId w:val="2"/>
        </w:numPr>
        <w:spacing w:after="0"/>
        <w:ind w:left="1633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7901D3" w:rsidRPr="00096612">
        <w:rPr>
          <w:rFonts w:ascii="Arial" w:hAnsi="Arial" w:cs="Arial"/>
          <w:color w:val="000000" w:themeColor="text1"/>
          <w:sz w:val="20"/>
          <w:szCs w:val="20"/>
        </w:rPr>
        <w:t xml:space="preserve">elkem bylo </w:t>
      </w:r>
      <w:r>
        <w:rPr>
          <w:rFonts w:ascii="Arial" w:hAnsi="Arial" w:cs="Arial"/>
          <w:color w:val="000000" w:themeColor="text1"/>
          <w:sz w:val="20"/>
          <w:szCs w:val="20"/>
        </w:rPr>
        <w:t>od uživatelů systému NEN kategorizováno</w:t>
      </w:r>
      <w:r w:rsidR="007901D3" w:rsidRPr="00096612">
        <w:rPr>
          <w:rFonts w:ascii="Arial" w:hAnsi="Arial" w:cs="Arial"/>
          <w:color w:val="000000" w:themeColor="text1"/>
          <w:sz w:val="20"/>
          <w:szCs w:val="20"/>
        </w:rPr>
        <w:t xml:space="preserve"> 362 rozvojových požadavků</w:t>
      </w:r>
      <w:r w:rsidR="00FE22D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901D3" w:rsidRPr="00096612" w:rsidRDefault="007901D3" w:rsidP="00890E5D">
      <w:pPr>
        <w:numPr>
          <w:ilvl w:val="1"/>
          <w:numId w:val="2"/>
        </w:numPr>
        <w:spacing w:after="0"/>
        <w:ind w:left="1633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Statistické údaje požadavků evidovaných v </w:t>
      </w:r>
      <w:r w:rsidR="00070608">
        <w:rPr>
          <w:rFonts w:ascii="Arial" w:hAnsi="Arial" w:cs="Arial"/>
          <w:color w:val="000000" w:themeColor="text1"/>
          <w:sz w:val="20"/>
          <w:szCs w:val="20"/>
        </w:rPr>
        <w:t>SD NEN jsou uvedeny v kapitole 6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.3.2.</w:t>
      </w:r>
    </w:p>
    <w:p w:rsidR="008560CB" w:rsidRPr="00096612" w:rsidRDefault="008560CB" w:rsidP="003074ED">
      <w:pPr>
        <w:pStyle w:val="Odstavecseseznamem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11B7B" w:rsidRPr="00096612" w:rsidRDefault="00811B7B" w:rsidP="00A0167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>Certifikáty NEN</w:t>
      </w:r>
      <w:r w:rsidR="00597B0A" w:rsidRPr="0009661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11B7B" w:rsidRPr="00096612" w:rsidRDefault="00811B7B" w:rsidP="00FD4D1C">
      <w:pPr>
        <w:pStyle w:val="Odstavecseseznamem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84328" w:rsidRPr="00096612" w:rsidRDefault="00984328" w:rsidP="00A0167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V roce</w:t>
      </w:r>
      <w:r w:rsidR="00597B0A" w:rsidRPr="00096612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3E79BB" w:rsidRPr="00096612">
        <w:rPr>
          <w:rFonts w:ascii="Arial" w:hAnsi="Arial" w:cs="Arial"/>
          <w:color w:val="000000" w:themeColor="text1"/>
          <w:sz w:val="20"/>
          <w:szCs w:val="20"/>
        </w:rPr>
        <w:t>9</w:t>
      </w:r>
      <w:r w:rsidR="00597B0A" w:rsidRPr="00096612">
        <w:rPr>
          <w:rFonts w:ascii="Arial" w:hAnsi="Arial" w:cs="Arial"/>
          <w:color w:val="000000" w:themeColor="text1"/>
          <w:sz w:val="20"/>
          <w:szCs w:val="20"/>
        </w:rPr>
        <w:t xml:space="preserve"> NEN obdržel </w:t>
      </w:r>
      <w:r w:rsidR="00DC77BD" w:rsidRPr="00096612">
        <w:rPr>
          <w:rFonts w:ascii="Arial" w:hAnsi="Arial" w:cs="Arial"/>
          <w:color w:val="000000" w:themeColor="text1"/>
          <w:sz w:val="20"/>
          <w:szCs w:val="20"/>
        </w:rPr>
        <w:t>2</w:t>
      </w:r>
      <w:r w:rsidR="00597B0A" w:rsidRPr="00096612">
        <w:rPr>
          <w:rFonts w:ascii="Arial" w:hAnsi="Arial" w:cs="Arial"/>
          <w:color w:val="000000" w:themeColor="text1"/>
          <w:sz w:val="20"/>
          <w:szCs w:val="20"/>
        </w:rPr>
        <w:t xml:space="preserve"> certifikát</w:t>
      </w:r>
      <w:r w:rsidR="00325739" w:rsidRPr="00096612">
        <w:rPr>
          <w:rFonts w:ascii="Arial" w:hAnsi="Arial" w:cs="Arial"/>
          <w:color w:val="000000" w:themeColor="text1"/>
          <w:sz w:val="20"/>
          <w:szCs w:val="20"/>
        </w:rPr>
        <w:t>y</w:t>
      </w:r>
      <w:r w:rsidR="00597B0A" w:rsidRPr="0009661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325739" w:rsidRPr="00096612" w:rsidRDefault="00325739" w:rsidP="00325739">
      <w:pPr>
        <w:pStyle w:val="Odstavecseseznamem"/>
        <w:ind w:left="16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E79BB" w:rsidRPr="00096612" w:rsidRDefault="003E79BB" w:rsidP="003074ED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Certifikát prostředí NEN, který byl získán ke dni 25. 3. 2019 a platí </w:t>
      </w:r>
      <w:r w:rsidR="00A11AFB" w:rsidRPr="00096612"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do 24. 3. 2022. Tento certifikát byl znovu udělen na základě reakce na mimořádnou provozní </w:t>
      </w:r>
      <w:r w:rsidR="00C13B0D" w:rsidRPr="00096612">
        <w:rPr>
          <w:rFonts w:ascii="Arial" w:hAnsi="Arial" w:cs="Arial"/>
          <w:color w:val="000000" w:themeColor="text1"/>
          <w:sz w:val="20"/>
          <w:szCs w:val="20"/>
        </w:rPr>
        <w:t xml:space="preserve">událost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NEN ze dne 15. 2. 2019. </w:t>
      </w:r>
      <w:r w:rsidR="000B6BCB" w:rsidRPr="00096612">
        <w:rPr>
          <w:rFonts w:ascii="Arial" w:hAnsi="Arial" w:cs="Arial"/>
          <w:color w:val="000000" w:themeColor="text1"/>
          <w:sz w:val="20"/>
          <w:szCs w:val="20"/>
        </w:rPr>
        <w:t>Certifikace prostředí kontroluje, že podmínky provozu odpovídají požadavkům vyhlášky. Kontroluje se tak například řízení aktiv a rizik, řízení lidských zdrojů, pravidla interního auditu. Jedním z hlavních bodů byly podrobné rozbory nápravných opatření po výše zmíněné události ze dne 15. 2. 2019.</w:t>
      </w:r>
    </w:p>
    <w:p w:rsidR="00325739" w:rsidRPr="00096612" w:rsidRDefault="00325739" w:rsidP="00325739">
      <w:pPr>
        <w:pStyle w:val="Odstavecseseznamem"/>
        <w:ind w:left="22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77BD" w:rsidRPr="00096612" w:rsidRDefault="007901D3" w:rsidP="00683B78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Dne 20. 12. 2019 byl vydán certifikát na funkčnost i prostředí ATS-20191203, který nahrazuje všechny dříve vydané certifikáty pro NEN. </w:t>
      </w:r>
      <w:r w:rsidR="005F0E41" w:rsidRPr="00096612">
        <w:rPr>
          <w:rFonts w:ascii="Arial" w:hAnsi="Arial" w:cs="Arial"/>
          <w:color w:val="000000" w:themeColor="text1"/>
          <w:sz w:val="20"/>
          <w:szCs w:val="20"/>
        </w:rPr>
        <w:t>Kompletní re</w:t>
      </w:r>
      <w:r w:rsidR="007B317C" w:rsidRPr="00096612">
        <w:rPr>
          <w:rFonts w:ascii="Arial" w:hAnsi="Arial" w:cs="Arial"/>
          <w:color w:val="000000" w:themeColor="text1"/>
          <w:sz w:val="20"/>
          <w:szCs w:val="20"/>
        </w:rPr>
        <w:t>-</w:t>
      </w:r>
      <w:r w:rsidR="005F0E41" w:rsidRPr="00096612">
        <w:rPr>
          <w:rFonts w:ascii="Arial" w:hAnsi="Arial" w:cs="Arial"/>
          <w:color w:val="000000" w:themeColor="text1"/>
          <w:sz w:val="20"/>
          <w:szCs w:val="20"/>
        </w:rPr>
        <w:t xml:space="preserve"> certifikace byla provedena z důvodu </w:t>
      </w:r>
      <w:r w:rsidR="007B317C" w:rsidRPr="00096612">
        <w:rPr>
          <w:rFonts w:ascii="Arial" w:hAnsi="Arial" w:cs="Arial"/>
          <w:color w:val="000000" w:themeColor="text1"/>
          <w:sz w:val="20"/>
          <w:szCs w:val="20"/>
        </w:rPr>
        <w:t xml:space="preserve">plánovaného </w:t>
      </w:r>
      <w:r w:rsidR="005F0E41" w:rsidRPr="00096612">
        <w:rPr>
          <w:rFonts w:ascii="Arial" w:hAnsi="Arial" w:cs="Arial"/>
          <w:color w:val="000000" w:themeColor="text1"/>
          <w:sz w:val="20"/>
          <w:szCs w:val="20"/>
        </w:rPr>
        <w:t>spuštění nového portálu zadavatele v HTML5</w:t>
      </w:r>
      <w:r w:rsidR="00D30CB8" w:rsidRPr="00096612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262711" w:rsidRPr="00096612">
        <w:rPr>
          <w:rFonts w:ascii="Arial" w:hAnsi="Arial" w:cs="Arial"/>
          <w:color w:val="000000" w:themeColor="text1"/>
          <w:sz w:val="20"/>
          <w:szCs w:val="20"/>
        </w:rPr>
        <w:t>současně došlo ke sj</w:t>
      </w:r>
      <w:r w:rsidR="00D30CB8" w:rsidRPr="00096612">
        <w:rPr>
          <w:rFonts w:ascii="Arial" w:hAnsi="Arial" w:cs="Arial"/>
          <w:color w:val="000000" w:themeColor="text1"/>
          <w:sz w:val="20"/>
          <w:szCs w:val="20"/>
        </w:rPr>
        <w:t>ednocení všech certifikátů, které NEN v minulosti obdržel</w:t>
      </w:r>
      <w:r w:rsidR="00B46478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C77BD" w:rsidRPr="00096612" w:rsidRDefault="00DC77BD" w:rsidP="00683B78">
      <w:pPr>
        <w:pStyle w:val="Normlnweb"/>
        <w:spacing w:before="0" w:beforeAutospacing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C847B9" w:rsidRPr="00096612" w:rsidRDefault="00C847B9" w:rsidP="00325739">
      <w:pPr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>Administrativně – informační podp</w:t>
      </w:r>
      <w:r w:rsidR="00325739" w:rsidRPr="00096612">
        <w:rPr>
          <w:rFonts w:ascii="Arial" w:hAnsi="Arial" w:cs="Arial"/>
          <w:b/>
          <w:color w:val="000000" w:themeColor="text1"/>
          <w:sz w:val="20"/>
          <w:szCs w:val="20"/>
        </w:rPr>
        <w:t>ora zadavatelů při používání NEN</w:t>
      </w:r>
    </w:p>
    <w:p w:rsidR="00C847B9" w:rsidRPr="00096612" w:rsidRDefault="00674578" w:rsidP="00A01673">
      <w:pPr>
        <w:pStyle w:val="Odstavecseseznamem"/>
        <w:numPr>
          <w:ilvl w:val="1"/>
          <w:numId w:val="2"/>
        </w:num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color w:val="000000" w:themeColor="text1"/>
          <w:sz w:val="20"/>
          <w:szCs w:val="20"/>
        </w:rPr>
        <w:t>Ti</w:t>
      </w:r>
      <w:r w:rsidR="00C847B9" w:rsidRPr="00096612">
        <w:rPr>
          <w:rFonts w:ascii="Arial" w:hAnsi="Arial" w:cs="Arial"/>
          <w:bCs/>
          <w:color w:val="000000" w:themeColor="text1"/>
          <w:sz w:val="20"/>
          <w:szCs w:val="20"/>
        </w:rPr>
        <w:t>skové zprávy, reakce a aktuality uveřejněné na internetových stránkách MMR</w:t>
      </w:r>
      <w:r w:rsidR="00597B0A" w:rsidRPr="00096612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="00C847B9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683B78" w:rsidRPr="00096612" w:rsidRDefault="00070608" w:rsidP="00DC08BE">
      <w:pPr>
        <w:pStyle w:val="Odstavecseseznamem"/>
        <w:numPr>
          <w:ilvl w:val="3"/>
          <w:numId w:val="2"/>
        </w:numPr>
        <w:spacing w:before="240"/>
        <w:jc w:val="both"/>
        <w:rPr>
          <w:color w:val="000000" w:themeColor="text1"/>
        </w:rPr>
      </w:pPr>
      <w:hyperlink r:id="rId9" w:history="1">
        <w:r w:rsidR="00674578" w:rsidRPr="00096612">
          <w:rPr>
            <w:rStyle w:val="Hypertextovodkaz"/>
            <w:rFonts w:ascii="Arial" w:hAnsi="Arial" w:cs="Arial"/>
            <w:bCs/>
            <w:color w:val="000000" w:themeColor="text1"/>
            <w:sz w:val="20"/>
            <w:szCs w:val="20"/>
          </w:rPr>
          <w:t>http://www.mmr.cz</w:t>
        </w:r>
      </w:hyperlink>
    </w:p>
    <w:p w:rsidR="00683B78" w:rsidRPr="00096612" w:rsidRDefault="00070608" w:rsidP="00683B78">
      <w:pPr>
        <w:pStyle w:val="Odstavecseseznamem"/>
        <w:numPr>
          <w:ilvl w:val="3"/>
          <w:numId w:val="2"/>
        </w:num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0" w:history="1">
        <w:r w:rsidR="00683B78" w:rsidRPr="00096612">
          <w:rPr>
            <w:rStyle w:val="Hypertextovodkaz"/>
            <w:rFonts w:ascii="Arial" w:hAnsi="Arial" w:cs="Arial"/>
            <w:bCs/>
            <w:color w:val="000000" w:themeColor="text1"/>
            <w:sz w:val="20"/>
            <w:szCs w:val="20"/>
          </w:rPr>
          <w:t>http://nenkomfortne.cz/</w:t>
        </w:r>
      </w:hyperlink>
    </w:p>
    <w:p w:rsidR="00683B78" w:rsidRPr="00096612" w:rsidRDefault="00070608" w:rsidP="00DC08BE">
      <w:pPr>
        <w:pStyle w:val="Odstavecseseznamem"/>
        <w:numPr>
          <w:ilvl w:val="3"/>
          <w:numId w:val="2"/>
        </w:num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1" w:history="1">
        <w:r w:rsidR="00683B78" w:rsidRPr="00096612">
          <w:rPr>
            <w:rStyle w:val="Hypertextovodkaz"/>
            <w:rFonts w:ascii="Arial" w:hAnsi="Arial" w:cs="Arial"/>
            <w:bCs/>
            <w:color w:val="000000" w:themeColor="text1"/>
            <w:sz w:val="20"/>
            <w:szCs w:val="20"/>
          </w:rPr>
          <w:t>www.portal-vz.cz/cs/</w:t>
        </w:r>
      </w:hyperlink>
    </w:p>
    <w:p w:rsidR="00C847B9" w:rsidRPr="00096612" w:rsidRDefault="00674578" w:rsidP="00A01673">
      <w:pPr>
        <w:pStyle w:val="Odstavecseseznamem"/>
        <w:numPr>
          <w:ilvl w:val="1"/>
          <w:numId w:val="2"/>
        </w:num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S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práva provozních informací a novinek na úvodní stránce NEN</w:t>
      </w:r>
      <w:r w:rsidR="00597B0A" w:rsidRPr="00096612">
        <w:rPr>
          <w:rFonts w:ascii="Arial" w:hAnsi="Arial" w:cs="Arial"/>
          <w:color w:val="000000" w:themeColor="text1"/>
          <w:sz w:val="20"/>
          <w:szCs w:val="20"/>
        </w:rPr>
        <w:t>: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847B9" w:rsidRPr="00096612" w:rsidRDefault="00070608" w:rsidP="00A01673">
      <w:pPr>
        <w:pStyle w:val="Odstavecseseznamem"/>
        <w:numPr>
          <w:ilvl w:val="3"/>
          <w:numId w:val="2"/>
        </w:numPr>
        <w:spacing w:before="24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2" w:history="1">
        <w:r w:rsidR="00C847B9" w:rsidRPr="00096612">
          <w:rPr>
            <w:rStyle w:val="Hypertextovodkaz"/>
            <w:rFonts w:ascii="Arial" w:hAnsi="Arial" w:cs="Arial"/>
            <w:color w:val="000000" w:themeColor="text1"/>
            <w:sz w:val="20"/>
            <w:szCs w:val="20"/>
          </w:rPr>
          <w:t>https://nen.nipez.cz</w:t>
        </w:r>
      </w:hyperlink>
    </w:p>
    <w:p w:rsidR="00665847" w:rsidRPr="00096612" w:rsidRDefault="00064B89" w:rsidP="00665847">
      <w:pPr>
        <w:pStyle w:val="Odstavecseseznamem"/>
        <w:numPr>
          <w:ilvl w:val="1"/>
          <w:numId w:val="2"/>
        </w:numPr>
        <w:spacing w:before="240" w:after="0"/>
        <w:ind w:left="1633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Informování a zodpovídání dotazů související s meto</w:t>
      </w:r>
      <w:r w:rsidR="0002590B" w:rsidRPr="00096612">
        <w:rPr>
          <w:rFonts w:ascii="Arial" w:hAnsi="Arial" w:cs="Arial"/>
          <w:color w:val="000000" w:themeColor="text1"/>
          <w:sz w:val="20"/>
          <w:szCs w:val="20"/>
        </w:rPr>
        <w:t xml:space="preserve">dickou podporou </w:t>
      </w:r>
      <w:r w:rsidR="005C44D8" w:rsidRPr="00096612">
        <w:rPr>
          <w:rFonts w:ascii="Arial" w:hAnsi="Arial" w:cs="Arial"/>
          <w:color w:val="000000" w:themeColor="text1"/>
          <w:sz w:val="20"/>
          <w:szCs w:val="20"/>
        </w:rPr>
        <w:t>s</w:t>
      </w:r>
      <w:r w:rsidR="00825872" w:rsidRPr="00096612">
        <w:rPr>
          <w:rFonts w:ascii="Arial" w:hAnsi="Arial" w:cs="Arial"/>
          <w:color w:val="000000" w:themeColor="text1"/>
          <w:sz w:val="20"/>
          <w:szCs w:val="20"/>
        </w:rPr>
        <w:t>y</w:t>
      </w:r>
      <w:r w:rsidR="005C44D8" w:rsidRPr="00096612">
        <w:rPr>
          <w:rFonts w:ascii="Arial" w:hAnsi="Arial" w:cs="Arial"/>
          <w:color w:val="000000" w:themeColor="text1"/>
          <w:sz w:val="20"/>
          <w:szCs w:val="20"/>
        </w:rPr>
        <w:t xml:space="preserve">tému NEN </w:t>
      </w:r>
      <w:r w:rsidR="00A11AFB" w:rsidRPr="00096612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5C44D8" w:rsidRPr="00096612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640B15" w:rsidRPr="00096612">
        <w:rPr>
          <w:rFonts w:ascii="Arial" w:hAnsi="Arial" w:cs="Arial"/>
          <w:color w:val="000000" w:themeColor="text1"/>
          <w:sz w:val="20"/>
          <w:szCs w:val="20"/>
        </w:rPr>
        <w:t>Zákon</w:t>
      </w:r>
      <w:r w:rsidR="0061246E" w:rsidRPr="00096612">
        <w:rPr>
          <w:rFonts w:ascii="Arial" w:hAnsi="Arial" w:cs="Arial"/>
          <w:color w:val="000000" w:themeColor="text1"/>
          <w:sz w:val="20"/>
          <w:szCs w:val="20"/>
        </w:rPr>
        <w:t>em</w:t>
      </w:r>
      <w:r w:rsidR="00640B15" w:rsidRPr="00096612">
        <w:rPr>
          <w:rFonts w:ascii="Arial" w:hAnsi="Arial" w:cs="Arial"/>
          <w:color w:val="000000" w:themeColor="text1"/>
          <w:sz w:val="20"/>
          <w:szCs w:val="20"/>
        </w:rPr>
        <w:t xml:space="preserve"> o zadávání veřejných zakázek č. 134/2016 Sb. (dále jen „</w:t>
      </w:r>
      <w:r w:rsidR="005C44D8" w:rsidRPr="00096612">
        <w:rPr>
          <w:rFonts w:ascii="Arial" w:hAnsi="Arial" w:cs="Arial"/>
          <w:color w:val="000000" w:themeColor="text1"/>
          <w:sz w:val="20"/>
          <w:szCs w:val="20"/>
        </w:rPr>
        <w:t>ZZVZ</w:t>
      </w:r>
      <w:r w:rsidR="00640B15" w:rsidRPr="00096612">
        <w:rPr>
          <w:rFonts w:ascii="Arial" w:hAnsi="Arial" w:cs="Arial"/>
          <w:color w:val="000000" w:themeColor="text1"/>
          <w:sz w:val="20"/>
          <w:szCs w:val="20"/>
        </w:rPr>
        <w:t>“)</w:t>
      </w:r>
      <w:r w:rsidR="005C44D8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590B" w:rsidRPr="00096612">
        <w:rPr>
          <w:rFonts w:ascii="Arial" w:hAnsi="Arial" w:cs="Arial"/>
          <w:color w:val="000000" w:themeColor="text1"/>
          <w:sz w:val="20"/>
          <w:szCs w:val="20"/>
        </w:rPr>
        <w:t xml:space="preserve">prostřednictvím </w:t>
      </w:r>
      <w:proofErr w:type="spellStart"/>
      <w:r w:rsidR="0002590B" w:rsidRPr="00096612">
        <w:rPr>
          <w:rFonts w:ascii="Arial" w:hAnsi="Arial" w:cs="Arial"/>
          <w:color w:val="000000" w:themeColor="text1"/>
          <w:sz w:val="20"/>
          <w:szCs w:val="20"/>
        </w:rPr>
        <w:t>ServiceD</w:t>
      </w:r>
      <w:r w:rsidR="00970A35" w:rsidRPr="00096612">
        <w:rPr>
          <w:rFonts w:ascii="Arial" w:hAnsi="Arial" w:cs="Arial"/>
          <w:color w:val="000000" w:themeColor="text1"/>
          <w:sz w:val="20"/>
          <w:szCs w:val="20"/>
        </w:rPr>
        <w:t>esk</w:t>
      </w:r>
      <w:proofErr w:type="spellEnd"/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NEN</w:t>
      </w:r>
      <w:r w:rsidR="00427D4C" w:rsidRPr="0009661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27D4C" w:rsidRPr="00096612">
        <w:rPr>
          <w:rFonts w:ascii="Arial" w:hAnsi="Arial" w:cs="Arial"/>
          <w:color w:val="000000" w:themeColor="text1"/>
          <w:sz w:val="20"/>
        </w:rPr>
        <w:t>dále jen „SD“)</w:t>
      </w:r>
      <w:r w:rsidR="005C44D8" w:rsidRPr="00096612">
        <w:rPr>
          <w:rFonts w:ascii="Arial" w:hAnsi="Arial" w:cs="Arial"/>
          <w:color w:val="000000" w:themeColor="text1"/>
          <w:sz w:val="20"/>
          <w:szCs w:val="20"/>
        </w:rPr>
        <w:t xml:space="preserve">, infolinky MMR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nebo interní pošty MMR.</w:t>
      </w:r>
    </w:p>
    <w:p w:rsidR="00665847" w:rsidRPr="00096612" w:rsidRDefault="00665847" w:rsidP="00665847">
      <w:pPr>
        <w:pStyle w:val="Odstavecseseznamem"/>
        <w:spacing w:before="240" w:after="0"/>
        <w:ind w:left="163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847B9" w:rsidRPr="00096612" w:rsidRDefault="00C847B9" w:rsidP="00A01673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>Představení a vysvětlení funkčnosti NEN v rutinním provozu uživatelům, tedy zadavatelům, externím administrátorům a dodavatelům</w:t>
      </w:r>
      <w:r w:rsidR="00597B0A" w:rsidRPr="0009661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C847B9" w:rsidRPr="00096612" w:rsidRDefault="00E17078" w:rsidP="000678EB">
      <w:pPr>
        <w:numPr>
          <w:ilvl w:val="1"/>
          <w:numId w:val="2"/>
        </w:numPr>
        <w:spacing w:after="0"/>
        <w:ind w:left="1633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R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ealizace dílčí interní a externí školící kampaně</w:t>
      </w:r>
      <w:r w:rsidR="00560605" w:rsidRPr="00096612">
        <w:rPr>
          <w:rFonts w:ascii="Arial" w:hAnsi="Arial" w:cs="Arial"/>
          <w:color w:val="000000" w:themeColor="text1"/>
          <w:sz w:val="20"/>
          <w:szCs w:val="20"/>
        </w:rPr>
        <w:t xml:space="preserve"> pro Organizace Státní správy 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v r</w:t>
      </w:r>
      <w:r w:rsidR="000678EB" w:rsidRPr="00096612">
        <w:rPr>
          <w:rFonts w:ascii="Arial" w:hAnsi="Arial" w:cs="Arial"/>
          <w:color w:val="000000" w:themeColor="text1"/>
          <w:sz w:val="20"/>
          <w:szCs w:val="20"/>
        </w:rPr>
        <w:t>ámci níž bylo v roce 2019 proškoleno 646 osob</w:t>
      </w:r>
      <w:r w:rsidR="000F1920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78EB" w:rsidRPr="00096612">
        <w:rPr>
          <w:rFonts w:ascii="Arial" w:hAnsi="Arial" w:cs="Arial"/>
          <w:color w:val="000000" w:themeColor="text1"/>
          <w:sz w:val="20"/>
          <w:szCs w:val="20"/>
        </w:rPr>
        <w:t>na 20 školení.</w:t>
      </w:r>
    </w:p>
    <w:p w:rsidR="00C847B9" w:rsidRPr="00096612" w:rsidRDefault="00A261E4" w:rsidP="00A01673">
      <w:pPr>
        <w:numPr>
          <w:ilvl w:val="1"/>
          <w:numId w:val="2"/>
        </w:numPr>
        <w:spacing w:after="0"/>
        <w:ind w:left="1633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V </w:t>
      </w:r>
      <w:r w:rsidR="00C847B9" w:rsidRPr="00096612">
        <w:rPr>
          <w:rFonts w:ascii="Arial" w:hAnsi="Arial" w:cs="Arial"/>
          <w:bCs/>
          <w:color w:val="000000" w:themeColor="text1"/>
          <w:sz w:val="20"/>
          <w:szCs w:val="20"/>
        </w:rPr>
        <w:t>e-</w:t>
      </w:r>
      <w:proofErr w:type="spellStart"/>
      <w:r w:rsidR="00C847B9" w:rsidRPr="00096612">
        <w:rPr>
          <w:rFonts w:ascii="Arial" w:hAnsi="Arial" w:cs="Arial"/>
          <w:bCs/>
          <w:color w:val="000000" w:themeColor="text1"/>
          <w:sz w:val="20"/>
          <w:szCs w:val="20"/>
        </w:rPr>
        <w:t>learningu</w:t>
      </w:r>
      <w:proofErr w:type="spellEnd"/>
      <w:r w:rsidR="00C847B9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 pro zadavatele i dodavatele za rok 201</w:t>
      </w:r>
      <w:r w:rsidR="006D0180" w:rsidRPr="00096612">
        <w:rPr>
          <w:rFonts w:ascii="Arial" w:hAnsi="Arial" w:cs="Arial"/>
          <w:bCs/>
          <w:color w:val="000000" w:themeColor="text1"/>
          <w:sz w:val="20"/>
          <w:szCs w:val="20"/>
        </w:rPr>
        <w:t>9</w:t>
      </w:r>
      <w:r w:rsidR="00665847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 bylo</w:t>
      </w:r>
      <w:r w:rsidR="00A11AFB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847B9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proškoleno </w:t>
      </w:r>
      <w:r w:rsidR="006D0180" w:rsidRPr="00096612">
        <w:rPr>
          <w:rFonts w:ascii="Arial" w:hAnsi="Arial" w:cs="Arial"/>
          <w:bCs/>
          <w:color w:val="000000" w:themeColor="text1"/>
          <w:sz w:val="20"/>
          <w:szCs w:val="20"/>
        </w:rPr>
        <w:t>165</w:t>
      </w:r>
      <w:r w:rsidR="00C847B9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 osob</w:t>
      </w:r>
      <w:r w:rsidR="00937F8A" w:rsidRPr="00096612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4E21BB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 celkem </w:t>
      </w:r>
      <w:r w:rsidR="00242B2B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bylo </w:t>
      </w:r>
      <w:r w:rsidR="00992A04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v systému </w:t>
      </w:r>
      <w:r w:rsidR="004E21BB" w:rsidRPr="00096612">
        <w:rPr>
          <w:rFonts w:ascii="Arial" w:hAnsi="Arial" w:cs="Arial"/>
          <w:bCs/>
          <w:color w:val="000000" w:themeColor="text1"/>
          <w:sz w:val="20"/>
          <w:szCs w:val="20"/>
        </w:rPr>
        <w:t>proškoleno 1</w:t>
      </w:r>
      <w:r w:rsidR="00992A04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D0180" w:rsidRPr="00096612">
        <w:rPr>
          <w:rFonts w:ascii="Arial" w:hAnsi="Arial" w:cs="Arial"/>
          <w:bCs/>
          <w:color w:val="000000" w:themeColor="text1"/>
          <w:sz w:val="20"/>
          <w:szCs w:val="20"/>
        </w:rPr>
        <w:t>527</w:t>
      </w:r>
      <w:r w:rsidR="004E21BB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 osob.</w:t>
      </w:r>
    </w:p>
    <w:p w:rsidR="00D54B40" w:rsidRPr="00096612" w:rsidRDefault="00D54B40" w:rsidP="00D54B40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5415E3" w:rsidRPr="00096612" w:rsidRDefault="005415E3" w:rsidP="005415E3">
      <w:pPr>
        <w:pStyle w:val="Odstavecseseznamem"/>
        <w:ind w:left="177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12C3D" w:rsidRPr="00096612" w:rsidRDefault="00C847B9" w:rsidP="00A0167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Činnost Pracovní skupiny pro funkčnost NEN</w:t>
      </w:r>
      <w:r w:rsidR="00885CFD"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5415E3" w:rsidRPr="00096612" w:rsidRDefault="005415E3" w:rsidP="005415E3">
      <w:pPr>
        <w:pStyle w:val="Odstavecseseznamem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12C3D" w:rsidRPr="00096612" w:rsidRDefault="00885CFD" w:rsidP="00A01673">
      <w:pPr>
        <w:pStyle w:val="Odstavecseseznamem"/>
        <w:numPr>
          <w:ilvl w:val="0"/>
          <w:numId w:val="8"/>
        </w:numPr>
        <w:ind w:left="170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Primárním cílem skupiny je řídit rozvoj NEN s ohledem na požadavky jednotlivých zadavatelů </w:t>
      </w:r>
    </w:p>
    <w:p w:rsidR="00885CFD" w:rsidRPr="00096612" w:rsidRDefault="00885CFD" w:rsidP="00A01673">
      <w:pPr>
        <w:pStyle w:val="Odstavecseseznamem"/>
        <w:numPr>
          <w:ilvl w:val="0"/>
          <w:numId w:val="8"/>
        </w:numPr>
        <w:ind w:left="170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V roce 201</w:t>
      </w:r>
      <w:r w:rsidR="00EF5E5C" w:rsidRPr="00096612">
        <w:rPr>
          <w:rFonts w:ascii="Arial" w:hAnsi="Arial" w:cs="Arial"/>
          <w:color w:val="000000" w:themeColor="text1"/>
          <w:sz w:val="20"/>
          <w:szCs w:val="20"/>
        </w:rPr>
        <w:t>9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proběhl</w:t>
      </w:r>
      <w:r w:rsidR="00315AA4" w:rsidRPr="00096612">
        <w:rPr>
          <w:rFonts w:ascii="Arial" w:hAnsi="Arial" w:cs="Arial"/>
          <w:color w:val="000000" w:themeColor="text1"/>
          <w:sz w:val="20"/>
          <w:szCs w:val="20"/>
        </w:rPr>
        <w:t>a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5AA4" w:rsidRPr="00096612">
        <w:rPr>
          <w:rFonts w:ascii="Arial" w:hAnsi="Arial" w:cs="Arial"/>
          <w:color w:val="000000" w:themeColor="text1"/>
          <w:sz w:val="20"/>
          <w:szCs w:val="20"/>
        </w:rPr>
        <w:t>dvě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jednání Pracovní skupiny pro funkčnost NEN</w:t>
      </w:r>
      <w:r w:rsidR="004D78CF" w:rsidRPr="00096612">
        <w:rPr>
          <w:rFonts w:ascii="Arial" w:hAnsi="Arial" w:cs="Arial"/>
          <w:color w:val="000000" w:themeColor="text1"/>
          <w:sz w:val="20"/>
          <w:szCs w:val="20"/>
        </w:rPr>
        <w:t>: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261E4" w:rsidRPr="00096612" w:rsidRDefault="00885CFD" w:rsidP="00A11AFB">
      <w:pPr>
        <w:pStyle w:val="Odstavecseseznamem"/>
        <w:numPr>
          <w:ilvl w:val="0"/>
          <w:numId w:val="38"/>
        </w:numPr>
        <w:ind w:left="1985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Mezi základní témata jednání patřily jmenovitě: </w:t>
      </w:r>
      <w:r w:rsidR="00315AA4" w:rsidRPr="00096612">
        <w:rPr>
          <w:rFonts w:ascii="Arial" w:hAnsi="Arial" w:cs="Arial"/>
          <w:color w:val="000000" w:themeColor="text1"/>
          <w:sz w:val="20"/>
          <w:szCs w:val="20"/>
        </w:rPr>
        <w:t>reakce na mimořádnou provozní událost NEN</w:t>
      </w:r>
      <w:r w:rsidR="00560605" w:rsidRPr="0009661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164B1" w:rsidRPr="00096612">
        <w:rPr>
          <w:rFonts w:ascii="Arial" w:hAnsi="Arial" w:cs="Arial"/>
          <w:color w:val="000000" w:themeColor="text1"/>
          <w:sz w:val="20"/>
          <w:szCs w:val="20"/>
        </w:rPr>
        <w:t>úprav</w:t>
      </w:r>
      <w:r w:rsidR="00560605" w:rsidRPr="00096612">
        <w:rPr>
          <w:rFonts w:ascii="Arial" w:hAnsi="Arial" w:cs="Arial"/>
          <w:color w:val="000000" w:themeColor="text1"/>
          <w:sz w:val="20"/>
          <w:szCs w:val="20"/>
        </w:rPr>
        <w:t>a</w:t>
      </w:r>
      <w:r w:rsidR="00A164B1" w:rsidRPr="00096612">
        <w:rPr>
          <w:rFonts w:ascii="Arial" w:hAnsi="Arial" w:cs="Arial"/>
          <w:color w:val="000000" w:themeColor="text1"/>
          <w:sz w:val="20"/>
          <w:szCs w:val="20"/>
        </w:rPr>
        <w:t xml:space="preserve"> modulu centralizovaného zadávání</w:t>
      </w:r>
      <w:r w:rsidR="00A261E4" w:rsidRPr="00096612">
        <w:rPr>
          <w:rFonts w:ascii="Arial" w:hAnsi="Arial" w:cs="Arial"/>
          <w:color w:val="000000" w:themeColor="text1"/>
          <w:sz w:val="20"/>
          <w:szCs w:val="20"/>
        </w:rPr>
        <w:t xml:space="preserve"> v návaznosti na přijaté usnesení č. 487/2019 Sb. týkající se hodnocení centrálních nákupů státu </w:t>
      </w:r>
      <w:r w:rsidR="000706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61E4" w:rsidRPr="00096612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15AA4" w:rsidRPr="00096612">
        <w:rPr>
          <w:rFonts w:ascii="Arial" w:hAnsi="Arial" w:cs="Arial"/>
          <w:color w:val="000000" w:themeColor="text1"/>
          <w:sz w:val="20"/>
          <w:szCs w:val="20"/>
        </w:rPr>
        <w:t>řešení rozvojových požadavků</w:t>
      </w:r>
      <w:r w:rsidR="00CF3D2A" w:rsidRPr="00096612">
        <w:rPr>
          <w:rFonts w:ascii="Arial" w:hAnsi="Arial" w:cs="Arial"/>
          <w:color w:val="000000" w:themeColor="text1"/>
          <w:sz w:val="20"/>
          <w:szCs w:val="20"/>
        </w:rPr>
        <w:t xml:space="preserve"> (např. rozvoj rozhraní NEN na spisovou službu uživatele či jiné okolní systémy</w:t>
      </w:r>
      <w:r w:rsidR="00A261E4" w:rsidRPr="00096612">
        <w:rPr>
          <w:rFonts w:ascii="Arial" w:hAnsi="Arial" w:cs="Arial"/>
          <w:color w:val="000000" w:themeColor="text1"/>
          <w:sz w:val="20"/>
          <w:szCs w:val="20"/>
        </w:rPr>
        <w:t>)</w:t>
      </w:r>
      <w:r w:rsidR="00A164B1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D78CF" w:rsidRPr="00096612" w:rsidRDefault="00A261E4" w:rsidP="00A11AFB">
      <w:pPr>
        <w:pStyle w:val="Odstavecseseznamem"/>
        <w:numPr>
          <w:ilvl w:val="0"/>
          <w:numId w:val="38"/>
        </w:numPr>
        <w:ind w:left="1985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P</w:t>
      </w:r>
      <w:r w:rsidR="00C13B0D" w:rsidRPr="00096612">
        <w:rPr>
          <w:rFonts w:ascii="Arial" w:hAnsi="Arial" w:cs="Arial"/>
          <w:color w:val="000000" w:themeColor="text1"/>
          <w:sz w:val="20"/>
          <w:szCs w:val="20"/>
        </w:rPr>
        <w:t>ře</w:t>
      </w:r>
      <w:r w:rsidR="00315AA4" w:rsidRPr="00096612">
        <w:rPr>
          <w:rFonts w:ascii="Arial" w:hAnsi="Arial" w:cs="Arial"/>
          <w:color w:val="000000" w:themeColor="text1"/>
          <w:sz w:val="20"/>
          <w:szCs w:val="20"/>
        </w:rPr>
        <w:t xml:space="preserve">dstavení </w:t>
      </w:r>
      <w:r w:rsidR="00A164B1" w:rsidRPr="00096612">
        <w:rPr>
          <w:rFonts w:ascii="Arial" w:hAnsi="Arial" w:cs="Arial"/>
          <w:color w:val="000000" w:themeColor="text1"/>
          <w:sz w:val="20"/>
          <w:szCs w:val="20"/>
        </w:rPr>
        <w:t xml:space="preserve">podoby </w:t>
      </w:r>
      <w:r w:rsidR="00315AA4" w:rsidRPr="00096612">
        <w:rPr>
          <w:rFonts w:ascii="Arial" w:hAnsi="Arial" w:cs="Arial"/>
          <w:color w:val="000000" w:themeColor="text1"/>
          <w:sz w:val="20"/>
          <w:szCs w:val="20"/>
        </w:rPr>
        <w:t xml:space="preserve">nového portálu dodavatele </w:t>
      </w:r>
      <w:r w:rsidR="00A11AFB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5AA4" w:rsidRPr="00096612">
        <w:rPr>
          <w:rFonts w:ascii="Arial" w:hAnsi="Arial" w:cs="Arial"/>
          <w:color w:val="000000" w:themeColor="text1"/>
          <w:sz w:val="20"/>
          <w:szCs w:val="20"/>
        </w:rPr>
        <w:t>a zadavatele v HTML 5</w:t>
      </w:r>
      <w:r w:rsidR="00560605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64B1" w:rsidRPr="00096612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15AA4" w:rsidRPr="00096612">
        <w:rPr>
          <w:rFonts w:ascii="Arial" w:hAnsi="Arial" w:cs="Arial"/>
          <w:color w:val="000000" w:themeColor="text1"/>
          <w:sz w:val="20"/>
          <w:szCs w:val="20"/>
        </w:rPr>
        <w:t xml:space="preserve">řešení </w:t>
      </w:r>
      <w:proofErr w:type="spellStart"/>
      <w:r w:rsidR="00315AA4" w:rsidRPr="00096612">
        <w:rPr>
          <w:rFonts w:ascii="Arial" w:hAnsi="Arial" w:cs="Arial"/>
          <w:color w:val="000000" w:themeColor="text1"/>
          <w:sz w:val="20"/>
          <w:szCs w:val="20"/>
        </w:rPr>
        <w:t>multiprofilu</w:t>
      </w:r>
      <w:proofErr w:type="spellEnd"/>
      <w:r w:rsidR="00A164B1" w:rsidRPr="0009661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847B9" w:rsidRPr="00096612" w:rsidRDefault="00C847B9" w:rsidP="00A01673">
      <w:pPr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>Kontrola reportů Provozovatele NEN ve vazbě na SLA parametry dle smlouvy o provozu NEN</w:t>
      </w:r>
      <w:r w:rsidR="00597B0A" w:rsidRPr="0009661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BF2BBC" w:rsidRPr="00096612" w:rsidRDefault="00C847B9" w:rsidP="00A01673">
      <w:pPr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Pravidelná provozně-monitorovací, kontrolní a fakturační činnost Správce NEN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br/>
        <w:t>v  měsíčním intervalu</w:t>
      </w:r>
      <w:r w:rsidR="003D5683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847B9" w:rsidRPr="00096612" w:rsidRDefault="00C847B9" w:rsidP="00A01673">
      <w:pPr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>Činnosti Správce NEN vyplývající z Pravidel používání Národního elektronického nástroje při realizaci zadávacích postupů prostřednictvím Národního elektron</w:t>
      </w:r>
      <w:r w:rsidR="000E2D0B" w:rsidRPr="00096612">
        <w:rPr>
          <w:rFonts w:ascii="Arial" w:hAnsi="Arial" w:cs="Arial"/>
          <w:b/>
          <w:color w:val="000000" w:themeColor="text1"/>
          <w:sz w:val="20"/>
          <w:szCs w:val="20"/>
        </w:rPr>
        <w:t>ického nástroje.</w:t>
      </w:r>
      <w:bookmarkStart w:id="74" w:name="_GoBack"/>
      <w:bookmarkEnd w:id="74"/>
    </w:p>
    <w:p w:rsidR="00B53AFE" w:rsidRPr="00096612" w:rsidRDefault="00C847B9" w:rsidP="00172485">
      <w:pPr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Byl vydán aktualizovaný Provozní ř</w:t>
      </w:r>
      <w:r w:rsidR="003D5683" w:rsidRPr="00096612">
        <w:rPr>
          <w:rFonts w:ascii="Arial" w:hAnsi="Arial" w:cs="Arial"/>
          <w:color w:val="000000" w:themeColor="text1"/>
          <w:sz w:val="20"/>
          <w:szCs w:val="20"/>
        </w:rPr>
        <w:t>á</w:t>
      </w:r>
      <w:r w:rsidR="00665847" w:rsidRPr="00096612">
        <w:rPr>
          <w:rFonts w:ascii="Arial" w:hAnsi="Arial" w:cs="Arial"/>
          <w:color w:val="000000" w:themeColor="text1"/>
          <w:sz w:val="20"/>
          <w:szCs w:val="20"/>
        </w:rPr>
        <w:t xml:space="preserve">d </w:t>
      </w:r>
      <w:r w:rsidR="00B53AFE" w:rsidRPr="00096612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333224" w:rsidRPr="00D17076" w:rsidRDefault="00C847B9" w:rsidP="00333224">
      <w:pPr>
        <w:pStyle w:val="Nadpis2"/>
        <w:rPr>
          <w:rFonts w:ascii="Arial" w:hAnsi="Arial" w:cs="Arial"/>
          <w:caps/>
          <w:color w:val="000000" w:themeColor="text1"/>
          <w:sz w:val="24"/>
          <w:szCs w:val="24"/>
        </w:rPr>
      </w:pPr>
      <w:bookmarkStart w:id="75" w:name="_Toc536525596"/>
      <w:bookmarkStart w:id="76" w:name="_Toc536525840"/>
      <w:bookmarkStart w:id="77" w:name="_Toc536525982"/>
      <w:bookmarkStart w:id="78" w:name="_Toc536525597"/>
      <w:bookmarkStart w:id="79" w:name="_Toc536525841"/>
      <w:bookmarkStart w:id="80" w:name="_Toc536525983"/>
      <w:bookmarkStart w:id="81" w:name="_Toc536525598"/>
      <w:bookmarkStart w:id="82" w:name="_Toc536525842"/>
      <w:bookmarkStart w:id="83" w:name="_Toc536525984"/>
      <w:bookmarkStart w:id="84" w:name="_Toc536525599"/>
      <w:bookmarkStart w:id="85" w:name="_Toc536525843"/>
      <w:bookmarkStart w:id="86" w:name="_Toc536525985"/>
      <w:bookmarkStart w:id="87" w:name="_Toc536525600"/>
      <w:bookmarkStart w:id="88" w:name="_Toc536525844"/>
      <w:bookmarkStart w:id="89" w:name="_Toc536525986"/>
      <w:bookmarkStart w:id="90" w:name="_Toc536525601"/>
      <w:bookmarkStart w:id="91" w:name="_Toc536525845"/>
      <w:bookmarkStart w:id="92" w:name="_Toc536525987"/>
      <w:bookmarkStart w:id="93" w:name="_Toc536450003"/>
      <w:bookmarkStart w:id="94" w:name="_Toc536525602"/>
      <w:bookmarkStart w:id="95" w:name="_Toc536525846"/>
      <w:bookmarkStart w:id="96" w:name="_Toc536525988"/>
      <w:bookmarkStart w:id="97" w:name="_Toc536450004"/>
      <w:bookmarkStart w:id="98" w:name="_Toc536525603"/>
      <w:bookmarkStart w:id="99" w:name="_Toc536525847"/>
      <w:bookmarkStart w:id="100" w:name="_Toc536525989"/>
      <w:bookmarkStart w:id="101" w:name="_Toc536450005"/>
      <w:bookmarkStart w:id="102" w:name="_Toc536525604"/>
      <w:bookmarkStart w:id="103" w:name="_Toc536525848"/>
      <w:bookmarkStart w:id="104" w:name="_Toc536525990"/>
      <w:bookmarkStart w:id="105" w:name="_Toc505859085"/>
      <w:bookmarkStart w:id="106" w:name="_Toc36798600"/>
      <w:bookmarkEnd w:id="5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D17076">
        <w:rPr>
          <w:rFonts w:ascii="Arial" w:hAnsi="Arial" w:cs="Arial"/>
          <w:caps/>
          <w:color w:val="000000" w:themeColor="text1"/>
          <w:sz w:val="24"/>
          <w:szCs w:val="24"/>
        </w:rPr>
        <w:lastRenderedPageBreak/>
        <w:t>Úkoly a opatření správy NEN</w:t>
      </w:r>
      <w:bookmarkEnd w:id="105"/>
      <w:bookmarkEnd w:id="106"/>
      <w:r w:rsidRPr="00D17076">
        <w:rPr>
          <w:rFonts w:ascii="Arial" w:hAnsi="Arial" w:cs="Arial"/>
          <w:caps/>
          <w:color w:val="000000" w:themeColor="text1"/>
          <w:sz w:val="24"/>
          <w:szCs w:val="24"/>
        </w:rPr>
        <w:t xml:space="preserve"> </w:t>
      </w:r>
    </w:p>
    <w:p w:rsidR="0002590B" w:rsidRPr="00096612" w:rsidRDefault="0002590B" w:rsidP="0002590B">
      <w:pPr>
        <w:rPr>
          <w:color w:val="000000" w:themeColor="text1"/>
        </w:rPr>
      </w:pPr>
    </w:p>
    <w:p w:rsidR="007901D3" w:rsidRPr="00096612" w:rsidRDefault="00597B0A" w:rsidP="007901D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Splněné a nesplněné úkoly/</w:t>
      </w:r>
      <w:r w:rsidR="00333224" w:rsidRPr="00096612">
        <w:rPr>
          <w:rFonts w:ascii="Arial" w:hAnsi="Arial" w:cs="Arial"/>
          <w:color w:val="000000" w:themeColor="text1"/>
          <w:sz w:val="20"/>
          <w:szCs w:val="20"/>
        </w:rPr>
        <w:t>opatření ve sledovaném období z obl</w:t>
      </w:r>
      <w:r w:rsidR="00CE3797" w:rsidRPr="00096612">
        <w:rPr>
          <w:rFonts w:ascii="Arial" w:hAnsi="Arial" w:cs="Arial"/>
          <w:color w:val="000000" w:themeColor="text1"/>
          <w:sz w:val="20"/>
          <w:szCs w:val="20"/>
        </w:rPr>
        <w:t xml:space="preserve">asti správy NEN </w:t>
      </w:r>
      <w:r w:rsidR="007901D3" w:rsidRPr="00096612">
        <w:rPr>
          <w:rFonts w:ascii="Arial" w:hAnsi="Arial" w:cs="Arial"/>
          <w:color w:val="000000" w:themeColor="text1"/>
          <w:sz w:val="20"/>
          <w:szCs w:val="20"/>
        </w:rPr>
        <w:t>jsou uvedeny ve Zprávě o plnění Strategie elektronizace zadávání veřejných zakázek pro období let 2016 až 2020 za rok 2019.</w:t>
      </w:r>
    </w:p>
    <w:p w:rsidR="00612FFA" w:rsidRPr="00096612" w:rsidRDefault="00C57F1C" w:rsidP="00096612">
      <w:pPr>
        <w:pStyle w:val="Nadpis1"/>
        <w:spacing w:after="480" w:line="240" w:lineRule="auto"/>
        <w:ind w:left="431" w:hanging="431"/>
        <w:rPr>
          <w:rFonts w:ascii="Arial" w:hAnsi="Arial" w:cs="Arial"/>
          <w:caps/>
          <w:color w:val="000000" w:themeColor="text1"/>
          <w:sz w:val="26"/>
          <w:szCs w:val="26"/>
        </w:rPr>
      </w:pPr>
      <w:bookmarkStart w:id="107" w:name="_Toc36798601"/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t>KONTROLY NEN</w:t>
      </w:r>
      <w:bookmarkEnd w:id="107"/>
    </w:p>
    <w:p w:rsidR="00840D7C" w:rsidRPr="00096612" w:rsidRDefault="00840D7C" w:rsidP="00D64972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Kontrola </w:t>
      </w:r>
      <w:r w:rsidR="00A771E7"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podle </w:t>
      </w: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zákona </w:t>
      </w:r>
      <w:r w:rsidR="00517C29" w:rsidRPr="00096612">
        <w:rPr>
          <w:rFonts w:ascii="Arial" w:hAnsi="Arial" w:cs="Arial"/>
          <w:b/>
          <w:color w:val="000000" w:themeColor="text1"/>
          <w:sz w:val="20"/>
          <w:szCs w:val="20"/>
        </w:rPr>
        <w:t>č. 181/2014 Sb., o kybernetické bezpečnosti</w:t>
      </w:r>
      <w:r w:rsidR="00A771E7" w:rsidRPr="00096612">
        <w:rPr>
          <w:rFonts w:ascii="Arial" w:hAnsi="Arial" w:cs="Arial"/>
          <w:b/>
          <w:color w:val="000000" w:themeColor="text1"/>
          <w:sz w:val="20"/>
          <w:szCs w:val="20"/>
        </w:rPr>
        <w:t>, ve znění pozdějších předpisů</w:t>
      </w:r>
      <w:r w:rsidRPr="00096612">
        <w:rPr>
          <w:rFonts w:ascii="Arial" w:hAnsi="Arial" w:cs="Arial"/>
          <w:b/>
          <w:color w:val="000000" w:themeColor="text1"/>
          <w:sz w:val="20"/>
          <w:szCs w:val="20"/>
        </w:rPr>
        <w:t xml:space="preserve"> – NÚKIB</w:t>
      </w:r>
    </w:p>
    <w:p w:rsidR="0022573D" w:rsidRPr="00096612" w:rsidRDefault="0022573D" w:rsidP="0022573D">
      <w:pPr>
        <w:pStyle w:val="Odstavecseseznamem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21CC4" w:rsidRPr="00096612" w:rsidRDefault="0022573D" w:rsidP="0022573D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V</w:t>
      </w:r>
      <w:r w:rsidR="00C622B7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5739" w:rsidRPr="00096612">
        <w:rPr>
          <w:rFonts w:ascii="Arial" w:hAnsi="Arial" w:cs="Arial"/>
          <w:color w:val="000000" w:themeColor="text1"/>
          <w:sz w:val="20"/>
          <w:szCs w:val="20"/>
        </w:rPr>
        <w:t>březnu</w:t>
      </w:r>
      <w:r w:rsidR="00C622B7" w:rsidRPr="00096612">
        <w:rPr>
          <w:rFonts w:ascii="Arial" w:hAnsi="Arial" w:cs="Arial"/>
          <w:color w:val="000000" w:themeColor="text1"/>
          <w:sz w:val="20"/>
          <w:szCs w:val="20"/>
        </w:rPr>
        <w:t xml:space="preserve"> 2019 proběhla kontrola v oblasti </w:t>
      </w:r>
      <w:r w:rsidR="00325739" w:rsidRPr="00096612">
        <w:rPr>
          <w:rFonts w:ascii="Arial" w:hAnsi="Arial" w:cs="Arial"/>
          <w:color w:val="000000" w:themeColor="text1"/>
          <w:sz w:val="20"/>
          <w:szCs w:val="20"/>
        </w:rPr>
        <w:t>dodržování požadavků, které</w:t>
      </w:r>
      <w:r w:rsidR="00C622B7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4C29" w:rsidRPr="00096612">
        <w:rPr>
          <w:rFonts w:ascii="Arial" w:hAnsi="Arial" w:cs="Arial"/>
          <w:color w:val="000000" w:themeColor="text1"/>
          <w:sz w:val="20"/>
          <w:szCs w:val="20"/>
        </w:rPr>
        <w:t>vyplývají</w:t>
      </w:r>
      <w:r w:rsidR="00C622B7" w:rsidRPr="00096612">
        <w:rPr>
          <w:rFonts w:ascii="Arial" w:hAnsi="Arial" w:cs="Arial"/>
          <w:color w:val="000000" w:themeColor="text1"/>
          <w:sz w:val="20"/>
          <w:szCs w:val="20"/>
        </w:rPr>
        <w:t xml:space="preserve"> ze zákona o</w:t>
      </w:r>
      <w:r w:rsidR="005E1E60" w:rsidRPr="00096612">
        <w:rPr>
          <w:rFonts w:ascii="Arial" w:hAnsi="Arial" w:cs="Arial"/>
          <w:color w:val="000000" w:themeColor="text1"/>
          <w:sz w:val="20"/>
          <w:szCs w:val="20"/>
        </w:rPr>
        <w:t> </w:t>
      </w:r>
      <w:r w:rsidR="00C622B7" w:rsidRPr="00096612">
        <w:rPr>
          <w:rFonts w:ascii="Arial" w:hAnsi="Arial" w:cs="Arial"/>
          <w:color w:val="000000" w:themeColor="text1"/>
          <w:sz w:val="20"/>
          <w:szCs w:val="20"/>
        </w:rPr>
        <w:t xml:space="preserve">kybernetické bezpečnosti. </w:t>
      </w:r>
      <w:r w:rsidR="00621CC4" w:rsidRPr="00096612">
        <w:rPr>
          <w:rFonts w:ascii="Arial" w:hAnsi="Arial" w:cs="Arial"/>
          <w:color w:val="000000" w:themeColor="text1"/>
          <w:sz w:val="20"/>
          <w:szCs w:val="20"/>
        </w:rPr>
        <w:t xml:space="preserve">Národní úřad pro kybernetickou a informační bezpečnost </w:t>
      </w:r>
      <w:r w:rsidR="005472E7" w:rsidRPr="00096612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621CC4" w:rsidRPr="00096612">
        <w:rPr>
          <w:rFonts w:ascii="Arial" w:hAnsi="Arial" w:cs="Arial"/>
          <w:color w:val="000000" w:themeColor="text1"/>
          <w:sz w:val="20"/>
          <w:szCs w:val="20"/>
        </w:rPr>
        <w:t>(dále jen „NÚKIB) při své kontrole došel k několika možným potenci</w:t>
      </w:r>
      <w:r w:rsidR="00262711" w:rsidRPr="00096612">
        <w:rPr>
          <w:rFonts w:ascii="Arial" w:hAnsi="Arial" w:cs="Arial"/>
          <w:color w:val="000000" w:themeColor="text1"/>
          <w:sz w:val="20"/>
          <w:szCs w:val="20"/>
        </w:rPr>
        <w:t>álním</w:t>
      </w:r>
      <w:r w:rsidR="00621CC4" w:rsidRPr="00096612">
        <w:rPr>
          <w:rFonts w:ascii="Arial" w:hAnsi="Arial" w:cs="Arial"/>
          <w:color w:val="000000" w:themeColor="text1"/>
          <w:sz w:val="20"/>
          <w:szCs w:val="20"/>
        </w:rPr>
        <w:t xml:space="preserve"> rizikům, která mohou ovlivnit chod </w:t>
      </w:r>
      <w:proofErr w:type="spellStart"/>
      <w:r w:rsidR="00621CC4" w:rsidRPr="00096612">
        <w:rPr>
          <w:rFonts w:ascii="Arial" w:hAnsi="Arial" w:cs="Arial"/>
          <w:color w:val="000000" w:themeColor="text1"/>
          <w:sz w:val="20"/>
          <w:szCs w:val="20"/>
        </w:rPr>
        <w:t>NENu</w:t>
      </w:r>
      <w:proofErr w:type="spellEnd"/>
      <w:r w:rsidR="00621CC4" w:rsidRPr="0009661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B5F33" w:rsidRPr="00096612">
        <w:rPr>
          <w:rFonts w:ascii="Arial" w:hAnsi="Arial" w:cs="Arial"/>
          <w:color w:val="000000" w:themeColor="text1"/>
          <w:sz w:val="20"/>
          <w:szCs w:val="20"/>
        </w:rPr>
        <w:t>MMR již realizovalo nápravná opatření ke zjištěným</w:t>
      </w:r>
      <w:r w:rsidR="001D230B" w:rsidRPr="00096612">
        <w:rPr>
          <w:rFonts w:ascii="Arial" w:hAnsi="Arial" w:cs="Arial"/>
          <w:color w:val="000000" w:themeColor="text1"/>
          <w:sz w:val="20"/>
          <w:szCs w:val="20"/>
        </w:rPr>
        <w:t xml:space="preserve"> potenci</w:t>
      </w:r>
      <w:r w:rsidR="007520B6" w:rsidRPr="00096612">
        <w:rPr>
          <w:rFonts w:ascii="Arial" w:hAnsi="Arial" w:cs="Arial"/>
          <w:color w:val="000000" w:themeColor="text1"/>
          <w:sz w:val="20"/>
          <w:szCs w:val="20"/>
        </w:rPr>
        <w:t>álním</w:t>
      </w:r>
      <w:r w:rsidR="00BB5F33" w:rsidRPr="00096612">
        <w:rPr>
          <w:rFonts w:ascii="Arial" w:hAnsi="Arial" w:cs="Arial"/>
          <w:color w:val="000000" w:themeColor="text1"/>
          <w:sz w:val="20"/>
          <w:szCs w:val="20"/>
        </w:rPr>
        <w:t xml:space="preserve"> rizikům.</w:t>
      </w:r>
      <w:r w:rsidR="00BC1D24" w:rsidRPr="00096612">
        <w:rPr>
          <w:rFonts w:ascii="Arial" w:hAnsi="Arial" w:cs="Arial"/>
          <w:color w:val="000000" w:themeColor="text1"/>
          <w:sz w:val="20"/>
          <w:szCs w:val="20"/>
        </w:rPr>
        <w:t xml:space="preserve"> S ohledem na bezpečnost sys</w:t>
      </w:r>
      <w:r w:rsidR="00325739" w:rsidRPr="00096612">
        <w:rPr>
          <w:rFonts w:ascii="Arial" w:hAnsi="Arial" w:cs="Arial"/>
          <w:color w:val="000000" w:themeColor="text1"/>
          <w:sz w:val="20"/>
          <w:szCs w:val="20"/>
        </w:rPr>
        <w:t>tému není možné zveřejnovat nálezy</w:t>
      </w:r>
      <w:r w:rsidR="00665847" w:rsidRPr="00096612">
        <w:rPr>
          <w:rFonts w:ascii="Arial" w:hAnsi="Arial" w:cs="Arial"/>
          <w:color w:val="000000" w:themeColor="text1"/>
          <w:sz w:val="20"/>
          <w:szCs w:val="20"/>
        </w:rPr>
        <w:t xml:space="preserve"> ani realizovaná opatření</w:t>
      </w:r>
      <w:r w:rsidR="00BC1D24" w:rsidRPr="00096612">
        <w:rPr>
          <w:rFonts w:ascii="Arial" w:hAnsi="Arial" w:cs="Arial"/>
          <w:color w:val="000000" w:themeColor="text1"/>
          <w:sz w:val="20"/>
          <w:szCs w:val="20"/>
        </w:rPr>
        <w:t xml:space="preserve"> z kontroly NÚKIB.</w:t>
      </w:r>
    </w:p>
    <w:p w:rsidR="00665847" w:rsidRPr="00096612" w:rsidRDefault="00665847" w:rsidP="00665847">
      <w:pPr>
        <w:pStyle w:val="Odstavecseseznamem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5847" w:rsidRPr="00096612" w:rsidRDefault="00665847" w:rsidP="00665847">
      <w:pPr>
        <w:pStyle w:val="Nadpis1"/>
        <w:spacing w:after="480" w:line="240" w:lineRule="auto"/>
        <w:ind w:left="431" w:hanging="431"/>
        <w:rPr>
          <w:rFonts w:ascii="Arial" w:hAnsi="Arial" w:cs="Arial"/>
          <w:caps/>
          <w:color w:val="000000" w:themeColor="text1"/>
          <w:sz w:val="26"/>
          <w:szCs w:val="26"/>
        </w:rPr>
      </w:pPr>
      <w:bookmarkStart w:id="108" w:name="_Toc36798602"/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t>Mimořádná provozní událost nen</w:t>
      </w:r>
      <w:bookmarkEnd w:id="108"/>
    </w:p>
    <w:p w:rsidR="00D17076" w:rsidRDefault="00077E05" w:rsidP="00665847">
      <w:pPr>
        <w:spacing w:after="120" w:line="280" w:lineRule="exact"/>
        <w:ind w:firstLine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665847" w:rsidRPr="00D17076">
        <w:rPr>
          <w:rFonts w:ascii="Arial" w:hAnsi="Arial" w:cs="Arial"/>
          <w:b/>
          <w:color w:val="000000" w:themeColor="text1"/>
          <w:sz w:val="24"/>
          <w:szCs w:val="24"/>
        </w:rPr>
        <w:t xml:space="preserve">.1 Základní informace a popis události </w:t>
      </w:r>
    </w:p>
    <w:p w:rsidR="00AB6330" w:rsidRPr="00D17076" w:rsidRDefault="00AB6330" w:rsidP="00665847">
      <w:pPr>
        <w:spacing w:after="120" w:line="280" w:lineRule="exact"/>
        <w:ind w:firstLine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5847" w:rsidRPr="00937285" w:rsidRDefault="00665847" w:rsidP="00D17076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t>K Mimořádné provozní události (dále jen MPÚ) v sys</w:t>
      </w:r>
      <w:r w:rsidR="007901D3" w:rsidRPr="00937285">
        <w:rPr>
          <w:rFonts w:ascii="Arial" w:hAnsi="Arial" w:cs="Arial"/>
          <w:color w:val="000000" w:themeColor="text1"/>
          <w:sz w:val="20"/>
          <w:szCs w:val="20"/>
        </w:rPr>
        <w:t>tému NEN došlo dne 15. 2. 2019. Událost b</w:t>
      </w:r>
      <w:r w:rsidRPr="00937285">
        <w:rPr>
          <w:rFonts w:ascii="Arial" w:hAnsi="Arial" w:cs="Arial"/>
          <w:color w:val="000000" w:themeColor="text1"/>
          <w:sz w:val="20"/>
          <w:szCs w:val="20"/>
        </w:rPr>
        <w:t xml:space="preserve">yla zapříčiněna chybou lidského faktoru na straně Provozovatele </w:t>
      </w:r>
      <w:r w:rsidR="007901D3" w:rsidRPr="00937285">
        <w:rPr>
          <w:rFonts w:ascii="Arial" w:hAnsi="Arial" w:cs="Arial"/>
          <w:color w:val="000000" w:themeColor="text1"/>
          <w:sz w:val="20"/>
          <w:szCs w:val="20"/>
        </w:rPr>
        <w:t>systému, a to společnosti Tesco SW a.s.  (dále jen „Provozovatel“) a z</w:t>
      </w:r>
      <w:r w:rsidRPr="00937285">
        <w:rPr>
          <w:rFonts w:ascii="Arial" w:hAnsi="Arial" w:cs="Arial"/>
          <w:color w:val="000000" w:themeColor="text1"/>
          <w:sz w:val="20"/>
          <w:szCs w:val="20"/>
        </w:rPr>
        <w:t>působila nedostupnost dokumentů uveřejněných v </w:t>
      </w:r>
      <w:proofErr w:type="gramStart"/>
      <w:r w:rsidRPr="00937285">
        <w:rPr>
          <w:rFonts w:ascii="Arial" w:hAnsi="Arial" w:cs="Arial"/>
          <w:color w:val="000000" w:themeColor="text1"/>
          <w:sz w:val="20"/>
          <w:szCs w:val="20"/>
        </w:rPr>
        <w:t>NEN</w:t>
      </w:r>
      <w:proofErr w:type="gramEnd"/>
      <w:r w:rsidRPr="0093728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65847" w:rsidRPr="00937285" w:rsidRDefault="00665847" w:rsidP="00D17076">
      <w:pPr>
        <w:numPr>
          <w:ilvl w:val="0"/>
          <w:numId w:val="38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t xml:space="preserve">MPÚ nebyla způsobena neautorizovaným přístupem ani bezpečnostním útokem, </w:t>
      </w:r>
      <w:proofErr w:type="spellStart"/>
      <w:r w:rsidRPr="00937285">
        <w:rPr>
          <w:rFonts w:ascii="Arial" w:hAnsi="Arial" w:cs="Arial"/>
          <w:color w:val="000000" w:themeColor="text1"/>
          <w:sz w:val="20"/>
          <w:szCs w:val="20"/>
        </w:rPr>
        <w:t>metadata</w:t>
      </w:r>
      <w:proofErr w:type="spellEnd"/>
      <w:r w:rsidRPr="00937285">
        <w:rPr>
          <w:rFonts w:ascii="Arial" w:hAnsi="Arial" w:cs="Arial"/>
          <w:color w:val="000000" w:themeColor="text1"/>
          <w:sz w:val="20"/>
          <w:szCs w:val="20"/>
        </w:rPr>
        <w:t xml:space="preserve">, transakční data, auditní data a logy, integrační data, apod. zůstaly zachovány. </w:t>
      </w:r>
    </w:p>
    <w:p w:rsidR="00665847" w:rsidRPr="00937285" w:rsidRDefault="00665847" w:rsidP="00D17076">
      <w:pPr>
        <w:numPr>
          <w:ilvl w:val="0"/>
          <w:numId w:val="38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t xml:space="preserve">Žádná data nebyla kompromitována ani zcizena, </w:t>
      </w:r>
      <w:r w:rsidR="007901D3" w:rsidRPr="00937285">
        <w:rPr>
          <w:rFonts w:ascii="Arial" w:hAnsi="Arial" w:cs="Arial"/>
          <w:color w:val="000000" w:themeColor="text1"/>
          <w:sz w:val="20"/>
          <w:szCs w:val="20"/>
        </w:rPr>
        <w:t xml:space="preserve">došlo však ke ztrátě logiky a vazby mezi uloženými dokumenty uživatelů </w:t>
      </w:r>
      <w:r w:rsidRPr="00937285">
        <w:rPr>
          <w:rFonts w:ascii="Arial" w:hAnsi="Arial" w:cs="Arial"/>
          <w:color w:val="000000" w:themeColor="text1"/>
          <w:sz w:val="20"/>
          <w:szCs w:val="20"/>
        </w:rPr>
        <w:t xml:space="preserve">a veřejnými zakázkami (dále jen „VZ“), které do </w:t>
      </w:r>
      <w:proofErr w:type="gramStart"/>
      <w:r w:rsidRPr="00937285">
        <w:rPr>
          <w:rFonts w:ascii="Arial" w:hAnsi="Arial" w:cs="Arial"/>
          <w:color w:val="000000" w:themeColor="text1"/>
          <w:sz w:val="20"/>
          <w:szCs w:val="20"/>
        </w:rPr>
        <w:t>NEN</w:t>
      </w:r>
      <w:proofErr w:type="gramEnd"/>
      <w:r w:rsidRPr="00937285">
        <w:rPr>
          <w:rFonts w:ascii="Arial" w:hAnsi="Arial" w:cs="Arial"/>
          <w:color w:val="000000" w:themeColor="text1"/>
          <w:sz w:val="20"/>
          <w:szCs w:val="20"/>
        </w:rPr>
        <w:t xml:space="preserve"> byly vloženy v období 1. 1. 2019 až 12. 2. 2019 (resp. vložené dokumenty nebylo možné „</w:t>
      </w:r>
      <w:proofErr w:type="spellStart"/>
      <w:r w:rsidRPr="00937285">
        <w:rPr>
          <w:rFonts w:ascii="Arial" w:hAnsi="Arial" w:cs="Arial"/>
          <w:color w:val="000000" w:themeColor="text1"/>
          <w:sz w:val="20"/>
          <w:szCs w:val="20"/>
        </w:rPr>
        <w:t>napárovat</w:t>
      </w:r>
      <w:proofErr w:type="spellEnd"/>
      <w:r w:rsidRPr="00937285">
        <w:rPr>
          <w:rFonts w:ascii="Arial" w:hAnsi="Arial" w:cs="Arial"/>
          <w:color w:val="000000" w:themeColor="text1"/>
          <w:sz w:val="20"/>
          <w:szCs w:val="20"/>
        </w:rPr>
        <w:t>“ k jednotlivým VZ)</w:t>
      </w:r>
      <w:r w:rsidR="00D634C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65847" w:rsidRPr="00937285" w:rsidRDefault="007901D3" w:rsidP="00D17076">
      <w:pPr>
        <w:numPr>
          <w:ilvl w:val="0"/>
          <w:numId w:val="38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t>Byly zachovány záznamy (auditní logy, atd.) o tom, že určitý dokument byl vložen do systému NEN v průběhu zadávacího řízení</w:t>
      </w:r>
      <w:r w:rsidR="00665847" w:rsidRPr="0093728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37285">
        <w:rPr>
          <w:rFonts w:ascii="Arial" w:hAnsi="Arial" w:cs="Arial"/>
          <w:color w:val="000000" w:themeColor="text1"/>
          <w:sz w:val="20"/>
          <w:szCs w:val="20"/>
        </w:rPr>
        <w:t>N</w:t>
      </w:r>
      <w:r w:rsidR="00D634CA">
        <w:rPr>
          <w:rFonts w:ascii="Arial" w:hAnsi="Arial" w:cs="Arial"/>
          <w:color w:val="000000" w:themeColor="text1"/>
          <w:sz w:val="20"/>
          <w:szCs w:val="20"/>
        </w:rPr>
        <w:t>a základě těchto dat P</w:t>
      </w:r>
      <w:r w:rsidR="00665847" w:rsidRPr="00937285">
        <w:rPr>
          <w:rFonts w:ascii="Arial" w:hAnsi="Arial" w:cs="Arial"/>
          <w:color w:val="000000" w:themeColor="text1"/>
          <w:sz w:val="20"/>
          <w:szCs w:val="20"/>
        </w:rPr>
        <w:t xml:space="preserve">rovozovatel </w:t>
      </w:r>
      <w:r w:rsidRPr="00937285">
        <w:rPr>
          <w:rFonts w:ascii="Arial" w:hAnsi="Arial" w:cs="Arial"/>
          <w:color w:val="000000" w:themeColor="text1"/>
          <w:sz w:val="20"/>
          <w:szCs w:val="20"/>
        </w:rPr>
        <w:t>byl schopen obnovit</w:t>
      </w:r>
      <w:r w:rsidR="00665847" w:rsidRPr="00937285">
        <w:rPr>
          <w:rFonts w:ascii="Arial" w:hAnsi="Arial" w:cs="Arial"/>
          <w:color w:val="000000" w:themeColor="text1"/>
          <w:sz w:val="20"/>
          <w:szCs w:val="20"/>
        </w:rPr>
        <w:t xml:space="preserve"> data u 80 % dotčených veřejných zakázek u zbývajících 20% byla dokumentace zkontrolována přes otisk dokumentu.</w:t>
      </w:r>
      <w:r w:rsidR="00665847" w:rsidRPr="0093728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="00665847" w:rsidRPr="00937285">
        <w:rPr>
          <w:rFonts w:ascii="Arial" w:hAnsi="Arial" w:cs="Arial"/>
          <w:bCs/>
          <w:sz w:val="20"/>
          <w:szCs w:val="20"/>
        </w:rPr>
        <w:t>tzv</w:t>
      </w:r>
      <w:proofErr w:type="spellEnd"/>
      <w:r w:rsidR="00665847" w:rsidRPr="00937285">
        <w:rPr>
          <w:rFonts w:ascii="Arial" w:hAnsi="Arial" w:cs="Arial"/>
          <w:bCs/>
          <w:sz w:val="20"/>
          <w:szCs w:val="20"/>
        </w:rPr>
        <w:t>.</w:t>
      </w:r>
      <w:proofErr w:type="gramEnd"/>
      <w:r w:rsidR="00665847" w:rsidRPr="00937285">
        <w:rPr>
          <w:rFonts w:ascii="Arial" w:hAnsi="Arial" w:cs="Arial"/>
          <w:bCs/>
          <w:sz w:val="20"/>
          <w:szCs w:val="20"/>
        </w:rPr>
        <w:t>“</w:t>
      </w:r>
      <w:proofErr w:type="spellStart"/>
      <w:r w:rsidR="00665847" w:rsidRPr="00937285">
        <w:rPr>
          <w:rFonts w:ascii="Arial" w:hAnsi="Arial" w:cs="Arial"/>
          <w:bCs/>
          <w:sz w:val="20"/>
          <w:szCs w:val="20"/>
        </w:rPr>
        <w:t>hash</w:t>
      </w:r>
      <w:proofErr w:type="spellEnd"/>
      <w:r w:rsidR="00665847" w:rsidRPr="00937285">
        <w:rPr>
          <w:rFonts w:ascii="Arial" w:hAnsi="Arial" w:cs="Arial"/>
          <w:bCs/>
          <w:sz w:val="20"/>
          <w:szCs w:val="20"/>
        </w:rPr>
        <w:t xml:space="preserve">“– pokud je otisk nově vloženého dokumentu stejný jako otisk původního dokumentu, jedná se </w:t>
      </w:r>
      <w:r w:rsidR="00D634CA">
        <w:rPr>
          <w:rFonts w:ascii="Arial" w:hAnsi="Arial" w:cs="Arial"/>
          <w:bCs/>
          <w:sz w:val="20"/>
          <w:szCs w:val="20"/>
        </w:rPr>
        <w:t>prokazatelně o shodný dokument.</w:t>
      </w:r>
      <w:r w:rsidR="00665847" w:rsidRPr="00937285">
        <w:rPr>
          <w:rFonts w:ascii="Arial" w:hAnsi="Arial" w:cs="Arial"/>
          <w:sz w:val="20"/>
          <w:szCs w:val="20"/>
        </w:rPr>
        <w:t xml:space="preserve"> Funkce byla zpřístupněna jednak pro možnost samostatného obnovení ze strany uživatelů nebo za součinnosti technické podpory</w:t>
      </w:r>
      <w:r w:rsidR="00D634CA">
        <w:rPr>
          <w:rFonts w:ascii="Arial" w:hAnsi="Arial" w:cs="Arial"/>
          <w:sz w:val="20"/>
          <w:szCs w:val="20"/>
        </w:rPr>
        <w:t>.</w:t>
      </w:r>
    </w:p>
    <w:p w:rsidR="00665847" w:rsidRPr="00937285" w:rsidRDefault="00665847" w:rsidP="00D17076">
      <w:pPr>
        <w:numPr>
          <w:ilvl w:val="0"/>
          <w:numId w:val="38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t xml:space="preserve"> Zadavatelé tedy byly vyzvání, aby do systému dokumenty opakovaně nahráli.</w:t>
      </w:r>
    </w:p>
    <w:p w:rsidR="00665847" w:rsidRPr="00937285" w:rsidRDefault="00665847" w:rsidP="00D17076">
      <w:pPr>
        <w:numPr>
          <w:ilvl w:val="0"/>
          <w:numId w:val="38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t>U veřejných zakázek, kde zadavatel neměl k dispozici „ztracené dokumenty“ bylo ze strany MMR doporučeno využít Záznam zadavatele, který bude sloužit pro případné kontroly.</w:t>
      </w:r>
    </w:p>
    <w:p w:rsidR="00665847" w:rsidRPr="00937285" w:rsidRDefault="00665847" w:rsidP="00D17076">
      <w:pPr>
        <w:numPr>
          <w:ilvl w:val="0"/>
          <w:numId w:val="38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lastRenderedPageBreak/>
        <w:t>V rámci řešení MPÚ Provozovatel NEN společně s MMR kontaktoval a vyzval opakovaně k součinnosti veškeré dotčené uživatele.</w:t>
      </w:r>
    </w:p>
    <w:p w:rsidR="00D17076" w:rsidRPr="00937285" w:rsidRDefault="00077E05" w:rsidP="00665847">
      <w:pPr>
        <w:spacing w:after="120" w:line="280" w:lineRule="exact"/>
        <w:ind w:firstLine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665847" w:rsidRPr="00937285">
        <w:rPr>
          <w:rFonts w:ascii="Arial" w:hAnsi="Arial" w:cs="Arial"/>
          <w:b/>
          <w:color w:val="000000" w:themeColor="text1"/>
          <w:sz w:val="24"/>
          <w:szCs w:val="24"/>
        </w:rPr>
        <w:t>.2. Implementovaná nápravná opatření</w:t>
      </w:r>
    </w:p>
    <w:p w:rsidR="00AB6330" w:rsidRPr="00937285" w:rsidRDefault="00AB6330" w:rsidP="00665847">
      <w:pPr>
        <w:spacing w:after="120" w:line="280" w:lineRule="exact"/>
        <w:ind w:firstLine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5847" w:rsidRPr="00937285" w:rsidRDefault="00665847" w:rsidP="00D17076">
      <w:pPr>
        <w:pStyle w:val="Odstavecseseznamem"/>
        <w:numPr>
          <w:ilvl w:val="0"/>
          <w:numId w:val="60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t xml:space="preserve">V rámci MPÚ byla ze strany MMR a Provozovatele NEN provedena kompletní revize a koncepce Zálohovacího plánů a archivačního procesu. </w:t>
      </w:r>
    </w:p>
    <w:p w:rsidR="00665847" w:rsidRPr="00937285" w:rsidRDefault="00665847" w:rsidP="00D17076">
      <w:pPr>
        <w:pStyle w:val="Odstavecseseznamem"/>
        <w:numPr>
          <w:ilvl w:val="0"/>
          <w:numId w:val="60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t>Mimořádný zákaz</w:t>
      </w:r>
      <w:r w:rsidR="00D634CA">
        <w:rPr>
          <w:rFonts w:ascii="Arial" w:hAnsi="Arial" w:cs="Arial"/>
          <w:color w:val="000000" w:themeColor="text1"/>
          <w:sz w:val="20"/>
          <w:szCs w:val="20"/>
        </w:rPr>
        <w:t>nický audit u Provozovatele NEN. T</w:t>
      </w:r>
      <w:r w:rsidRPr="00937285">
        <w:rPr>
          <w:rFonts w:ascii="Arial" w:hAnsi="Arial" w:cs="Arial"/>
          <w:color w:val="000000" w:themeColor="text1"/>
          <w:sz w:val="20"/>
          <w:szCs w:val="20"/>
        </w:rPr>
        <w:t>yto audity budou prováděny na pravidelné bázi.</w:t>
      </w:r>
    </w:p>
    <w:p w:rsidR="00665847" w:rsidRPr="00937285" w:rsidRDefault="00665847" w:rsidP="00D17076">
      <w:pPr>
        <w:pStyle w:val="Odstavecseseznamem"/>
        <w:numPr>
          <w:ilvl w:val="0"/>
          <w:numId w:val="60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t>Aktualizace koncepce archivačního procesu dokumentů včetně zad</w:t>
      </w:r>
      <w:r w:rsidR="00D634CA">
        <w:rPr>
          <w:rFonts w:ascii="Arial" w:hAnsi="Arial" w:cs="Arial"/>
          <w:color w:val="000000" w:themeColor="text1"/>
          <w:sz w:val="20"/>
          <w:szCs w:val="20"/>
        </w:rPr>
        <w:t xml:space="preserve">ávací dokumentace (řešení </w:t>
      </w:r>
      <w:proofErr w:type="gramStart"/>
      <w:r w:rsidR="00D634CA">
        <w:rPr>
          <w:rFonts w:ascii="Arial" w:hAnsi="Arial" w:cs="Arial"/>
          <w:color w:val="000000" w:themeColor="text1"/>
          <w:sz w:val="20"/>
          <w:szCs w:val="20"/>
        </w:rPr>
        <w:t>bylo</w:t>
      </w:r>
      <w:proofErr w:type="gramEnd"/>
      <w:r w:rsidR="00D634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37285">
        <w:rPr>
          <w:rFonts w:ascii="Arial" w:hAnsi="Arial" w:cs="Arial"/>
          <w:color w:val="000000" w:themeColor="text1"/>
          <w:sz w:val="20"/>
          <w:szCs w:val="20"/>
        </w:rPr>
        <w:t xml:space="preserve">posuzováno v rámci Certifikace prostředí systému NEN </w:t>
      </w:r>
      <w:proofErr w:type="gramStart"/>
      <w:r w:rsidRPr="00937285">
        <w:rPr>
          <w:rFonts w:ascii="Arial" w:hAnsi="Arial" w:cs="Arial"/>
          <w:color w:val="000000" w:themeColor="text1"/>
          <w:sz w:val="20"/>
          <w:szCs w:val="20"/>
        </w:rPr>
        <w:t>viz</w:t>
      </w:r>
      <w:proofErr w:type="gramEnd"/>
      <w:r w:rsidRPr="00937285">
        <w:rPr>
          <w:rFonts w:ascii="Arial" w:hAnsi="Arial" w:cs="Arial"/>
          <w:color w:val="000000" w:themeColor="text1"/>
          <w:sz w:val="20"/>
          <w:szCs w:val="20"/>
        </w:rPr>
        <w:t xml:space="preserve"> kapitola 3.1.3.)</w:t>
      </w:r>
      <w:r w:rsidR="00D634C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65847" w:rsidRPr="00937285" w:rsidRDefault="00665847" w:rsidP="00D17076">
      <w:pPr>
        <w:pStyle w:val="Odstavecseseznamem"/>
        <w:numPr>
          <w:ilvl w:val="0"/>
          <w:numId w:val="60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t>Automatizace a revize interníc</w:t>
      </w:r>
      <w:r w:rsidR="00D634CA">
        <w:rPr>
          <w:rFonts w:ascii="Arial" w:hAnsi="Arial" w:cs="Arial"/>
          <w:color w:val="000000" w:themeColor="text1"/>
          <w:sz w:val="20"/>
          <w:szCs w:val="20"/>
        </w:rPr>
        <w:t>h zálohovacích logů monitoringu.</w:t>
      </w:r>
    </w:p>
    <w:p w:rsidR="00665847" w:rsidRPr="00937285" w:rsidRDefault="00665847" w:rsidP="00D17076">
      <w:pPr>
        <w:pStyle w:val="Odstavecseseznamem"/>
        <w:numPr>
          <w:ilvl w:val="0"/>
          <w:numId w:val="60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t>Změna procesu kontroly zálohovacích logů doplněním monitorovacího nástroje k použitému zálohovacímu nástroji.</w:t>
      </w:r>
    </w:p>
    <w:p w:rsidR="00D17076" w:rsidRPr="00937285" w:rsidRDefault="00D17076" w:rsidP="00D17076">
      <w:pPr>
        <w:pStyle w:val="Odstavecseseznamem"/>
        <w:spacing w:after="120" w:line="280" w:lineRule="exact"/>
        <w:ind w:left="78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7076" w:rsidRPr="00937285" w:rsidRDefault="00077E05" w:rsidP="00665847">
      <w:pPr>
        <w:spacing w:after="120" w:line="280" w:lineRule="exact"/>
        <w:ind w:firstLine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665847" w:rsidRPr="00937285">
        <w:rPr>
          <w:rFonts w:ascii="Arial" w:hAnsi="Arial" w:cs="Arial"/>
          <w:b/>
          <w:color w:val="000000" w:themeColor="text1"/>
          <w:sz w:val="24"/>
          <w:szCs w:val="24"/>
        </w:rPr>
        <w:t xml:space="preserve">.3. Statistika </w:t>
      </w:r>
    </w:p>
    <w:p w:rsidR="00AB6330" w:rsidRPr="00937285" w:rsidRDefault="00AB6330" w:rsidP="00665847">
      <w:pPr>
        <w:spacing w:after="120" w:line="280" w:lineRule="exact"/>
        <w:ind w:firstLine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5847" w:rsidRPr="00937285" w:rsidRDefault="00665847" w:rsidP="00D17076">
      <w:pPr>
        <w:pStyle w:val="Odstavecseseznamem"/>
        <w:numPr>
          <w:ilvl w:val="0"/>
          <w:numId w:val="59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t>Provozovatel</w:t>
      </w:r>
      <w:r w:rsidR="007901D3" w:rsidRPr="00937285">
        <w:rPr>
          <w:rFonts w:ascii="Arial" w:hAnsi="Arial" w:cs="Arial"/>
          <w:color w:val="000000" w:themeColor="text1"/>
          <w:sz w:val="20"/>
          <w:szCs w:val="20"/>
        </w:rPr>
        <w:t xml:space="preserve"> byl za pochybení sankcionován</w:t>
      </w:r>
      <w:r w:rsidRPr="009372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01D3" w:rsidRPr="00937285">
        <w:rPr>
          <w:rFonts w:ascii="Arial" w:hAnsi="Arial" w:cs="Arial"/>
          <w:color w:val="000000" w:themeColor="text1"/>
          <w:sz w:val="20"/>
          <w:szCs w:val="20"/>
        </w:rPr>
        <w:t>pokutou ve výši 2 799 160,- Kč s</w:t>
      </w:r>
      <w:r w:rsidR="00D634CA">
        <w:rPr>
          <w:rFonts w:ascii="Arial" w:hAnsi="Arial" w:cs="Arial"/>
          <w:color w:val="000000" w:themeColor="text1"/>
          <w:sz w:val="20"/>
          <w:szCs w:val="20"/>
        </w:rPr>
        <w:t> </w:t>
      </w:r>
      <w:r w:rsidR="007901D3" w:rsidRPr="00937285">
        <w:rPr>
          <w:rFonts w:ascii="Arial" w:hAnsi="Arial" w:cs="Arial"/>
          <w:color w:val="000000" w:themeColor="text1"/>
          <w:sz w:val="20"/>
          <w:szCs w:val="20"/>
        </w:rPr>
        <w:t>DPH</w:t>
      </w:r>
      <w:r w:rsidR="00D634CA">
        <w:rPr>
          <w:rFonts w:ascii="Arial" w:hAnsi="Arial" w:cs="Arial"/>
          <w:color w:val="000000" w:themeColor="text1"/>
          <w:sz w:val="20"/>
          <w:szCs w:val="20"/>
        </w:rPr>
        <w:t>.</w:t>
      </w:r>
      <w:r w:rsidR="007901D3" w:rsidRPr="009372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65847" w:rsidRPr="00937285" w:rsidRDefault="00665847" w:rsidP="00D17076">
      <w:pPr>
        <w:pStyle w:val="Odstavecseseznamem"/>
        <w:numPr>
          <w:ilvl w:val="0"/>
          <w:numId w:val="59"/>
        </w:numPr>
        <w:spacing w:after="0" w:line="259" w:lineRule="auto"/>
        <w:jc w:val="both"/>
        <w:rPr>
          <w:rFonts w:ascii="Arial" w:hAnsi="Arial" w:cs="Arial"/>
          <w:bCs/>
          <w:color w:val="000000"/>
          <w:sz w:val="20"/>
        </w:rPr>
      </w:pPr>
      <w:r w:rsidRPr="00937285">
        <w:rPr>
          <w:rFonts w:ascii="Arial" w:hAnsi="Arial" w:cs="Arial"/>
          <w:bCs/>
          <w:color w:val="000000"/>
          <w:sz w:val="20"/>
        </w:rPr>
        <w:t>MMR obdrželo od zadavatelů a dodavatelů 4 žádosti o náhradu škody v celkové výši přes 200 tis.</w:t>
      </w:r>
      <w:r w:rsidR="007901D3" w:rsidRPr="00937285">
        <w:rPr>
          <w:rFonts w:ascii="Arial" w:hAnsi="Arial" w:cs="Arial"/>
          <w:bCs/>
          <w:color w:val="000000"/>
          <w:sz w:val="20"/>
        </w:rPr>
        <w:t xml:space="preserve"> Kč. Vyřizování těchto žádostí probíhá</w:t>
      </w:r>
      <w:r w:rsidRPr="00937285">
        <w:rPr>
          <w:rFonts w:ascii="Arial" w:hAnsi="Arial" w:cs="Arial"/>
          <w:bCs/>
          <w:color w:val="000000"/>
          <w:sz w:val="20"/>
        </w:rPr>
        <w:t>.</w:t>
      </w:r>
    </w:p>
    <w:p w:rsidR="00665847" w:rsidRPr="00937285" w:rsidRDefault="00665847" w:rsidP="00D17076">
      <w:pPr>
        <w:pStyle w:val="Odstavecseseznamem"/>
        <w:numPr>
          <w:ilvl w:val="0"/>
          <w:numId w:val="59"/>
        </w:numPr>
        <w:spacing w:after="12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285">
        <w:rPr>
          <w:rFonts w:ascii="Arial" w:hAnsi="Arial" w:cs="Arial"/>
          <w:color w:val="000000" w:themeColor="text1"/>
          <w:sz w:val="20"/>
          <w:szCs w:val="20"/>
        </w:rPr>
        <w:t xml:space="preserve">Celkem bylo MPÚ dotčeno 6 004 VZ ve výši 56 357 232 685,32 mld., z toho pouze 75 VZ ve výši 546 881 088 Kč bez DPH muselo být v důsledku MPÚ </w:t>
      </w:r>
      <w:r w:rsidR="007901D3" w:rsidRPr="00937285">
        <w:rPr>
          <w:rFonts w:ascii="Arial" w:hAnsi="Arial" w:cs="Arial"/>
          <w:color w:val="000000" w:themeColor="text1"/>
          <w:sz w:val="20"/>
          <w:szCs w:val="20"/>
        </w:rPr>
        <w:t>zrušeno.</w:t>
      </w:r>
    </w:p>
    <w:p w:rsidR="00665847" w:rsidRPr="00937285" w:rsidRDefault="00665847" w:rsidP="00665847">
      <w:pPr>
        <w:pStyle w:val="Nadpis1"/>
        <w:numPr>
          <w:ilvl w:val="0"/>
          <w:numId w:val="0"/>
        </w:numPr>
        <w:spacing w:after="480" w:line="240" w:lineRule="auto"/>
        <w:rPr>
          <w:rFonts w:ascii="Arial" w:hAnsi="Arial" w:cs="Arial"/>
          <w:caps/>
          <w:color w:val="000000" w:themeColor="text1"/>
          <w:sz w:val="26"/>
          <w:szCs w:val="26"/>
        </w:rPr>
      </w:pPr>
    </w:p>
    <w:p w:rsidR="00256D2E" w:rsidRPr="00096612" w:rsidRDefault="00256D2E" w:rsidP="00172485">
      <w:pPr>
        <w:pStyle w:val="Odstavecseseznamem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6D2E" w:rsidRPr="00096612" w:rsidRDefault="00256D2E" w:rsidP="00172485">
      <w:pPr>
        <w:pStyle w:val="Odstavecseseznamem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6D2E" w:rsidRPr="00096612" w:rsidRDefault="00256D2E" w:rsidP="0017248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21CC4" w:rsidRPr="00096612" w:rsidRDefault="00621CC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847B9" w:rsidRPr="00096612" w:rsidRDefault="00C847B9" w:rsidP="00840D7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C847B9" w:rsidRPr="00096612" w:rsidRDefault="00C847B9" w:rsidP="00597B0A">
      <w:pPr>
        <w:pStyle w:val="Nadpis1"/>
        <w:spacing w:after="480" w:line="240" w:lineRule="auto"/>
        <w:ind w:left="431" w:hanging="431"/>
        <w:rPr>
          <w:rFonts w:ascii="Arial" w:hAnsi="Arial" w:cs="Arial"/>
          <w:caps/>
          <w:color w:val="000000" w:themeColor="text1"/>
          <w:sz w:val="26"/>
          <w:szCs w:val="26"/>
        </w:rPr>
      </w:pPr>
      <w:bookmarkStart w:id="109" w:name="_Toc505859087"/>
      <w:bookmarkStart w:id="110" w:name="_Toc36798603"/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lastRenderedPageBreak/>
        <w:t>Provoz NEN</w:t>
      </w:r>
      <w:bookmarkEnd w:id="109"/>
      <w:bookmarkEnd w:id="110"/>
    </w:p>
    <w:p w:rsidR="00C847B9" w:rsidRPr="00096612" w:rsidRDefault="00C847B9" w:rsidP="00AF735D">
      <w:pPr>
        <w:pStyle w:val="Nadpis2"/>
        <w:ind w:left="578" w:hanging="578"/>
        <w:rPr>
          <w:rFonts w:ascii="Arial" w:hAnsi="Arial" w:cs="Arial"/>
          <w:caps/>
          <w:color w:val="000000" w:themeColor="text1"/>
          <w:sz w:val="24"/>
        </w:rPr>
      </w:pPr>
      <w:bookmarkStart w:id="111" w:name="_Toc505859088"/>
      <w:bookmarkStart w:id="112" w:name="_Toc36798604"/>
      <w:r w:rsidRPr="00096612">
        <w:rPr>
          <w:rFonts w:ascii="Arial" w:hAnsi="Arial" w:cs="Arial"/>
          <w:caps/>
          <w:color w:val="000000" w:themeColor="text1"/>
          <w:sz w:val="24"/>
        </w:rPr>
        <w:t>Obecné informace k provozu NEN</w:t>
      </w:r>
      <w:bookmarkEnd w:id="111"/>
      <w:bookmarkEnd w:id="112"/>
    </w:p>
    <w:p w:rsidR="00AF735D" w:rsidRPr="00096612" w:rsidRDefault="00AF735D" w:rsidP="00AF735D">
      <w:pPr>
        <w:jc w:val="both"/>
        <w:rPr>
          <w:rFonts w:ascii="Arial" w:hAnsi="Arial" w:cs="Arial"/>
          <w:color w:val="000000" w:themeColor="text1"/>
        </w:rPr>
      </w:pPr>
    </w:p>
    <w:p w:rsidR="000D7986" w:rsidRPr="00096612" w:rsidRDefault="005472E7" w:rsidP="00AF735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Provoz NEN zajišťuje P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rovozovatel, tj. sdružení společností Tesco SW, a.</w:t>
      </w:r>
      <w:r w:rsidR="00A90F96" w:rsidRPr="00096612">
        <w:rPr>
          <w:rFonts w:ascii="Arial" w:hAnsi="Arial" w:cs="Arial"/>
          <w:color w:val="000000" w:themeColor="text1"/>
          <w:sz w:val="20"/>
          <w:szCs w:val="20"/>
        </w:rPr>
        <w:t> 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 xml:space="preserve">s. 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br/>
        <w:t>a O2 Czech Republic, a.s.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 xml:space="preserve"> (viz tabulka č. </w:t>
      </w:r>
      <w:r w:rsidR="00BA11DE" w:rsidRPr="00096612">
        <w:rPr>
          <w:rFonts w:ascii="Arial" w:hAnsi="Arial" w:cs="Arial"/>
          <w:color w:val="000000" w:themeColor="text1"/>
          <w:sz w:val="20"/>
          <w:szCs w:val="20"/>
        </w:rPr>
        <w:t>2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>)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, jakožto vítěz otevřeného zadávacího ří</w:t>
      </w:r>
      <w:r w:rsidR="00455887" w:rsidRPr="00096612">
        <w:rPr>
          <w:rFonts w:ascii="Arial" w:hAnsi="Arial" w:cs="Arial"/>
          <w:color w:val="000000" w:themeColor="text1"/>
          <w:sz w:val="20"/>
          <w:szCs w:val="20"/>
        </w:rPr>
        <w:t>zení</w:t>
      </w:r>
      <w:r w:rsidR="00E95657" w:rsidRPr="00096612">
        <w:rPr>
          <w:rFonts w:ascii="Arial" w:hAnsi="Arial" w:cs="Arial"/>
          <w:color w:val="000000" w:themeColor="text1"/>
          <w:sz w:val="20"/>
          <w:szCs w:val="20"/>
        </w:rPr>
        <w:t xml:space="preserve"> veřejné zakázky Zajištění provozu NEN </w:t>
      </w:r>
      <w:r w:rsidR="00455887" w:rsidRPr="00096612">
        <w:rPr>
          <w:rFonts w:ascii="Arial" w:hAnsi="Arial" w:cs="Arial"/>
          <w:color w:val="000000" w:themeColor="text1"/>
          <w:sz w:val="20"/>
          <w:szCs w:val="20"/>
        </w:rPr>
        <w:t>na 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období 5 let, jehož oznámení b</w:t>
      </w:r>
      <w:r w:rsidR="00DE7283" w:rsidRPr="00096612">
        <w:rPr>
          <w:rFonts w:ascii="Arial" w:hAnsi="Arial" w:cs="Arial"/>
          <w:color w:val="000000" w:themeColor="text1"/>
          <w:sz w:val="20"/>
          <w:szCs w:val="20"/>
        </w:rPr>
        <w:t>ylo odesláno k uveřejnění dne 27. 8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 xml:space="preserve">. 2013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 xml:space="preserve">a uveřejněno ve </w:t>
      </w:r>
      <w:r w:rsidR="006E0301" w:rsidRPr="00096612">
        <w:rPr>
          <w:rFonts w:ascii="Arial" w:hAnsi="Arial" w:cs="Arial"/>
          <w:color w:val="000000" w:themeColor="text1"/>
          <w:sz w:val="20"/>
          <w:szCs w:val="20"/>
        </w:rPr>
        <w:t>Věstníku veřejných zakázek dne 28. 8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. 2013 pod ev. č. 351814</w:t>
      </w:r>
      <w:r w:rsidR="00B301DC" w:rsidRPr="00096612">
        <w:rPr>
          <w:rFonts w:ascii="Arial" w:hAnsi="Arial" w:cs="Arial"/>
          <w:color w:val="000000" w:themeColor="text1"/>
          <w:sz w:val="20"/>
          <w:szCs w:val="20"/>
        </w:rPr>
        <w:t xml:space="preserve"> (Ukončení plnění smlouvy k 31. 12. 2019).</w:t>
      </w:r>
      <w:r w:rsidR="000736CF" w:rsidRPr="00096612">
        <w:rPr>
          <w:rFonts w:ascii="Arial" w:hAnsi="Arial" w:cs="Arial"/>
          <w:color w:val="000000" w:themeColor="text1"/>
          <w:sz w:val="20"/>
          <w:szCs w:val="20"/>
        </w:rPr>
        <w:t xml:space="preserve"> Dne 9. 12. 2019 došlo k uzavření nové smlouvy na Zajištění provozu Národního elektronického nástroje, a to se společnostmi TESCO SW a.s. a O2 Czech Republic a.s., takže provoz systému NEN je zajištěn i pro další roky.</w:t>
      </w:r>
    </w:p>
    <w:p w:rsidR="00C847B9" w:rsidRPr="00096612" w:rsidRDefault="00C847B9" w:rsidP="00C847B9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Technicky zajistilo MMR provoz NEN prostřednictvím uzavřené Smlouvy o zajištění provozu Národního elektronického nástroje ze dne 15. 9. 2014. Provoz NEN byl tedy ve sledovaném období roku </w:t>
      </w:r>
      <w:r w:rsidR="002B55B6" w:rsidRPr="00096612">
        <w:rPr>
          <w:rFonts w:ascii="Arial" w:hAnsi="Arial" w:cs="Arial"/>
          <w:color w:val="000000" w:themeColor="text1"/>
          <w:sz w:val="20"/>
          <w:szCs w:val="20"/>
        </w:rPr>
        <w:t>201</w:t>
      </w:r>
      <w:r w:rsidR="004D78CF" w:rsidRPr="00096612">
        <w:rPr>
          <w:rFonts w:ascii="Arial" w:hAnsi="Arial" w:cs="Arial"/>
          <w:color w:val="000000" w:themeColor="text1"/>
          <w:sz w:val="20"/>
          <w:szCs w:val="20"/>
        </w:rPr>
        <w:t>9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zajištěn řádným provozovatelem NEN, který služby provozu realizoval dle stanovených provozních parametrů definovaných pro rutinní provoz. </w:t>
      </w:r>
      <w:r w:rsidRPr="00096612">
        <w:rPr>
          <w:rFonts w:ascii="Arial" w:eastAsia="Calibri" w:hAnsi="Arial" w:cs="Arial"/>
          <w:color w:val="000000" w:themeColor="text1"/>
          <w:sz w:val="20"/>
          <w:szCs w:val="20"/>
        </w:rPr>
        <w:t>Roční náklady na prov</w:t>
      </w:r>
      <w:r w:rsidR="00455887" w:rsidRPr="00096612">
        <w:rPr>
          <w:rFonts w:ascii="Arial" w:eastAsia="Calibri" w:hAnsi="Arial" w:cs="Arial"/>
          <w:color w:val="000000" w:themeColor="text1"/>
          <w:sz w:val="20"/>
          <w:szCs w:val="20"/>
        </w:rPr>
        <w:t>oz systému</w:t>
      </w:r>
      <w:r w:rsidR="006E0301" w:rsidRPr="00096612">
        <w:rPr>
          <w:rFonts w:ascii="Arial" w:eastAsia="Calibri" w:hAnsi="Arial" w:cs="Arial"/>
          <w:color w:val="000000" w:themeColor="text1"/>
          <w:sz w:val="20"/>
          <w:szCs w:val="20"/>
        </w:rPr>
        <w:t xml:space="preserve"> vypl</w:t>
      </w:r>
      <w:r w:rsidR="001E4F79" w:rsidRPr="00096612">
        <w:rPr>
          <w:rFonts w:ascii="Arial" w:eastAsia="Calibri" w:hAnsi="Arial" w:cs="Arial"/>
          <w:color w:val="000000" w:themeColor="text1"/>
          <w:sz w:val="20"/>
          <w:szCs w:val="20"/>
        </w:rPr>
        <w:t>ý</w:t>
      </w:r>
      <w:r w:rsidR="006E0301" w:rsidRPr="00096612">
        <w:rPr>
          <w:rFonts w:ascii="Arial" w:eastAsia="Calibri" w:hAnsi="Arial" w:cs="Arial"/>
          <w:color w:val="000000" w:themeColor="text1"/>
          <w:sz w:val="20"/>
          <w:szCs w:val="20"/>
        </w:rPr>
        <w:t>vající z pravidelných plateb na základě výše uvedené smlouvy jsou</w:t>
      </w:r>
      <w:r w:rsidR="00455887" w:rsidRPr="00096612">
        <w:rPr>
          <w:rFonts w:ascii="Arial" w:eastAsia="Calibri" w:hAnsi="Arial" w:cs="Arial"/>
          <w:color w:val="000000" w:themeColor="text1"/>
          <w:sz w:val="20"/>
          <w:szCs w:val="20"/>
        </w:rPr>
        <w:t xml:space="preserve"> 43 331 472 Kč s</w:t>
      </w:r>
      <w:r w:rsidR="00E831EB" w:rsidRPr="00096612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096612">
        <w:rPr>
          <w:rFonts w:ascii="Arial" w:eastAsia="Calibri" w:hAnsi="Arial" w:cs="Arial"/>
          <w:color w:val="000000" w:themeColor="text1"/>
          <w:sz w:val="20"/>
          <w:szCs w:val="20"/>
        </w:rPr>
        <w:t>DPH</w:t>
      </w:r>
      <w:r w:rsidR="00E831EB" w:rsidRPr="0009661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E831EB" w:rsidRPr="00096612">
        <w:rPr>
          <w:rFonts w:ascii="Arial" w:hAnsi="Arial" w:cs="Arial"/>
          <w:color w:val="000000" w:themeColor="text1"/>
          <w:sz w:val="20"/>
          <w:szCs w:val="20"/>
        </w:rPr>
        <w:t xml:space="preserve">(viz tabulka č. </w:t>
      </w:r>
      <w:r w:rsidR="00BA11DE" w:rsidRPr="00096612">
        <w:rPr>
          <w:rFonts w:ascii="Arial" w:hAnsi="Arial" w:cs="Arial"/>
          <w:color w:val="000000" w:themeColor="text1"/>
          <w:sz w:val="20"/>
          <w:szCs w:val="20"/>
        </w:rPr>
        <w:t>3</w:t>
      </w:r>
      <w:r w:rsidR="00E831EB" w:rsidRPr="00096612">
        <w:rPr>
          <w:rFonts w:ascii="Arial" w:hAnsi="Arial" w:cs="Arial"/>
          <w:color w:val="000000" w:themeColor="text1"/>
          <w:sz w:val="20"/>
          <w:szCs w:val="20"/>
        </w:rPr>
        <w:t>)</w:t>
      </w:r>
      <w:r w:rsidRPr="0009661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841A3E" w:rsidRPr="0009661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:rsidR="00A57EB4" w:rsidRPr="00096612" w:rsidRDefault="00A57EB4" w:rsidP="00C847B9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96612">
        <w:rPr>
          <w:rFonts w:ascii="Arial" w:eastAsia="Calibri" w:hAnsi="Arial" w:cs="Arial"/>
          <w:color w:val="000000" w:themeColor="text1"/>
          <w:sz w:val="20"/>
          <w:szCs w:val="20"/>
        </w:rPr>
        <w:t>V roce 201</w:t>
      </w:r>
      <w:r w:rsidR="004D78CF" w:rsidRPr="00096612">
        <w:rPr>
          <w:rFonts w:ascii="Arial" w:eastAsia="Calibri" w:hAnsi="Arial" w:cs="Arial"/>
          <w:color w:val="000000" w:themeColor="text1"/>
          <w:sz w:val="20"/>
          <w:szCs w:val="20"/>
        </w:rPr>
        <w:t>9</w:t>
      </w:r>
      <w:r w:rsidRPr="00096612">
        <w:rPr>
          <w:rFonts w:ascii="Arial" w:eastAsia="Calibri" w:hAnsi="Arial" w:cs="Arial"/>
          <w:color w:val="000000" w:themeColor="text1"/>
          <w:sz w:val="20"/>
          <w:szCs w:val="20"/>
        </w:rPr>
        <w:t xml:space="preserve"> byla uzavřena smlouva na technickou podporu se společností TECHNISER </w:t>
      </w:r>
      <w:proofErr w:type="spellStart"/>
      <w:r w:rsidRPr="00096612">
        <w:rPr>
          <w:rFonts w:ascii="Arial" w:eastAsia="Calibri" w:hAnsi="Arial" w:cs="Arial"/>
          <w:color w:val="000000" w:themeColor="text1"/>
          <w:sz w:val="20"/>
          <w:szCs w:val="20"/>
        </w:rPr>
        <w:t>IT,spol</w:t>
      </w:r>
      <w:proofErr w:type="spellEnd"/>
      <w:r w:rsidRPr="00096612">
        <w:rPr>
          <w:rFonts w:ascii="Arial" w:eastAsia="Calibri" w:hAnsi="Arial" w:cs="Arial"/>
          <w:color w:val="000000" w:themeColor="text1"/>
          <w:sz w:val="20"/>
          <w:szCs w:val="20"/>
        </w:rPr>
        <w:t xml:space="preserve"> s.r.o. Náklady na zajištění podpory k produktům v </w:t>
      </w:r>
      <w:proofErr w:type="gramStart"/>
      <w:r w:rsidRPr="00096612">
        <w:rPr>
          <w:rFonts w:ascii="Arial" w:eastAsia="Calibri" w:hAnsi="Arial" w:cs="Arial"/>
          <w:color w:val="000000" w:themeColor="text1"/>
          <w:sz w:val="20"/>
          <w:szCs w:val="20"/>
        </w:rPr>
        <w:t>NEN</w:t>
      </w:r>
      <w:proofErr w:type="gramEnd"/>
      <w:r w:rsidRPr="00096612">
        <w:rPr>
          <w:rFonts w:ascii="Arial" w:eastAsia="Calibri" w:hAnsi="Arial" w:cs="Arial"/>
          <w:color w:val="000000" w:themeColor="text1"/>
          <w:sz w:val="20"/>
          <w:szCs w:val="20"/>
        </w:rPr>
        <w:t xml:space="preserve"> v roce 201</w:t>
      </w:r>
      <w:r w:rsidR="004D78CF" w:rsidRPr="00096612">
        <w:rPr>
          <w:rFonts w:ascii="Arial" w:eastAsia="Calibri" w:hAnsi="Arial" w:cs="Arial"/>
          <w:color w:val="000000" w:themeColor="text1"/>
          <w:sz w:val="20"/>
          <w:szCs w:val="20"/>
        </w:rPr>
        <w:t>9</w:t>
      </w:r>
      <w:r w:rsidR="00B301DC" w:rsidRPr="00096612">
        <w:rPr>
          <w:rFonts w:ascii="Arial" w:eastAsia="Calibri" w:hAnsi="Arial" w:cs="Arial"/>
          <w:color w:val="000000" w:themeColor="text1"/>
          <w:sz w:val="20"/>
          <w:szCs w:val="20"/>
        </w:rPr>
        <w:t xml:space="preserve"> činila </w:t>
      </w:r>
      <w:r w:rsidR="004D78CF" w:rsidRPr="00096612">
        <w:rPr>
          <w:rFonts w:ascii="Arial" w:eastAsia="Calibri" w:hAnsi="Arial" w:cs="Arial"/>
          <w:color w:val="000000" w:themeColor="text1"/>
          <w:sz w:val="20"/>
          <w:szCs w:val="20"/>
        </w:rPr>
        <w:t>56 611 419</w:t>
      </w:r>
      <w:r w:rsidRPr="00096612">
        <w:rPr>
          <w:rFonts w:ascii="Arial" w:eastAsia="Calibri" w:hAnsi="Arial" w:cs="Arial"/>
          <w:color w:val="000000" w:themeColor="text1"/>
          <w:sz w:val="20"/>
          <w:szCs w:val="20"/>
        </w:rPr>
        <w:t xml:space="preserve"> Kč s DPH. </w:t>
      </w:r>
    </w:p>
    <w:p w:rsidR="00C847B9" w:rsidRPr="00096612" w:rsidRDefault="00C847B9" w:rsidP="00C847B9">
      <w:pPr>
        <w:pStyle w:val="Titulek"/>
        <w:rPr>
          <w:rFonts w:ascii="Arial" w:hAnsi="Arial" w:cs="Arial"/>
          <w:color w:val="000000" w:themeColor="text1"/>
        </w:rPr>
      </w:pPr>
      <w:bookmarkStart w:id="113" w:name="_Toc952151"/>
      <w:r w:rsidRPr="00096612">
        <w:rPr>
          <w:rFonts w:ascii="Arial" w:hAnsi="Arial" w:cs="Arial"/>
          <w:color w:val="000000" w:themeColor="text1"/>
        </w:rPr>
        <w:t xml:space="preserve">Tabulka </w:t>
      </w:r>
      <w:r w:rsidR="00A54EE7" w:rsidRPr="00096612">
        <w:rPr>
          <w:rFonts w:ascii="Arial" w:hAnsi="Arial" w:cs="Arial"/>
          <w:color w:val="000000" w:themeColor="text1"/>
        </w:rPr>
        <w:t xml:space="preserve">č. </w:t>
      </w:r>
      <w:r w:rsidR="00BA11DE" w:rsidRPr="00096612">
        <w:rPr>
          <w:rFonts w:ascii="Arial" w:hAnsi="Arial" w:cs="Arial"/>
          <w:color w:val="000000" w:themeColor="text1"/>
        </w:rPr>
        <w:t xml:space="preserve">2 </w:t>
      </w:r>
      <w:r w:rsidR="00CA0D25" w:rsidRPr="00096612">
        <w:rPr>
          <w:rFonts w:ascii="Arial" w:hAnsi="Arial" w:cs="Arial"/>
          <w:color w:val="000000" w:themeColor="text1"/>
        </w:rPr>
        <w:t>– Údaje o P</w:t>
      </w:r>
      <w:r w:rsidRPr="00096612">
        <w:rPr>
          <w:rFonts w:ascii="Arial" w:hAnsi="Arial" w:cs="Arial"/>
          <w:color w:val="000000" w:themeColor="text1"/>
        </w:rPr>
        <w:t>rovozovateli NEN</w:t>
      </w:r>
      <w:bookmarkEnd w:id="113"/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586"/>
        <w:gridCol w:w="1357"/>
        <w:gridCol w:w="2852"/>
      </w:tblGrid>
      <w:tr w:rsidR="0096165B" w:rsidRPr="00096612" w:rsidTr="00561EEF">
        <w:trPr>
          <w:trHeight w:val="567"/>
        </w:trPr>
        <w:tc>
          <w:tcPr>
            <w:tcW w:w="2200" w:type="dxa"/>
            <w:shd w:val="clear" w:color="auto" w:fill="DEEAF6" w:themeFill="accent1" w:themeFillTint="33"/>
            <w:vAlign w:val="center"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Období provozu</w:t>
            </w:r>
          </w:p>
        </w:tc>
        <w:tc>
          <w:tcPr>
            <w:tcW w:w="2586" w:type="dxa"/>
            <w:shd w:val="clear" w:color="auto" w:fill="DEEAF6" w:themeFill="accent1" w:themeFillTint="33"/>
            <w:vAlign w:val="center"/>
          </w:tcPr>
          <w:p w:rsidR="00C847B9" w:rsidRPr="00096612" w:rsidRDefault="00C847B9" w:rsidP="00CA0D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Název </w:t>
            </w:r>
            <w:r w:rsidR="00CA0D25"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096612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rovozovatele</w:t>
            </w:r>
          </w:p>
        </w:tc>
        <w:tc>
          <w:tcPr>
            <w:tcW w:w="1357" w:type="dxa"/>
            <w:shd w:val="clear" w:color="auto" w:fill="DEEAF6" w:themeFill="accent1" w:themeFillTint="33"/>
            <w:vAlign w:val="center"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852" w:type="dxa"/>
            <w:shd w:val="clear" w:color="auto" w:fill="DEEAF6" w:themeFill="accent1" w:themeFillTint="33"/>
            <w:vAlign w:val="center"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Adresa</w:t>
            </w:r>
          </w:p>
        </w:tc>
      </w:tr>
      <w:tr w:rsidR="0096165B" w:rsidRPr="00096612" w:rsidTr="00561EEF">
        <w:trPr>
          <w:trHeight w:val="596"/>
        </w:trPr>
        <w:tc>
          <w:tcPr>
            <w:tcW w:w="2200" w:type="dxa"/>
            <w:vMerge w:val="restart"/>
            <w:shd w:val="clear" w:color="auto" w:fill="auto"/>
          </w:tcPr>
          <w:p w:rsidR="00C847B9" w:rsidRPr="00096612" w:rsidRDefault="00C847B9" w:rsidP="00B62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1. 2015 – </w:t>
            </w: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31. 12. 2019</w:t>
            </w:r>
          </w:p>
        </w:tc>
        <w:tc>
          <w:tcPr>
            <w:tcW w:w="2586" w:type="dxa"/>
            <w:shd w:val="clear" w:color="auto" w:fill="auto"/>
          </w:tcPr>
          <w:p w:rsidR="00C847B9" w:rsidRPr="00096612" w:rsidRDefault="00C847B9" w:rsidP="00B62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O2 Czech Republic, a.</w:t>
            </w:r>
            <w:r w:rsidR="00A90F96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s.</w:t>
            </w:r>
          </w:p>
        </w:tc>
        <w:tc>
          <w:tcPr>
            <w:tcW w:w="1357" w:type="dxa"/>
            <w:shd w:val="clear" w:color="auto" w:fill="auto"/>
          </w:tcPr>
          <w:p w:rsidR="00C847B9" w:rsidRPr="00096612" w:rsidRDefault="00C847B9" w:rsidP="00B62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60193336</w:t>
            </w:r>
          </w:p>
        </w:tc>
        <w:tc>
          <w:tcPr>
            <w:tcW w:w="2852" w:type="dxa"/>
            <w:shd w:val="clear" w:color="auto" w:fill="auto"/>
          </w:tcPr>
          <w:p w:rsidR="00C847B9" w:rsidRPr="00096612" w:rsidRDefault="00C847B9" w:rsidP="00B62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Praha 4 - Michle, Za</w:t>
            </w:r>
            <w:r w:rsidR="00477308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Brumlovkou</w:t>
            </w:r>
            <w:proofErr w:type="spellEnd"/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266/2, </w:t>
            </w: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PSČ 14022</w:t>
            </w:r>
          </w:p>
        </w:tc>
      </w:tr>
      <w:tr w:rsidR="00C847B9" w:rsidRPr="00096612" w:rsidTr="00561EEF">
        <w:trPr>
          <w:trHeight w:val="608"/>
        </w:trPr>
        <w:tc>
          <w:tcPr>
            <w:tcW w:w="2200" w:type="dxa"/>
            <w:vMerge/>
            <w:shd w:val="clear" w:color="auto" w:fill="auto"/>
          </w:tcPr>
          <w:p w:rsidR="00C847B9" w:rsidRPr="00096612" w:rsidRDefault="00C847B9" w:rsidP="00B62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C847B9" w:rsidRPr="00096612" w:rsidRDefault="00C847B9" w:rsidP="00B62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Tesco SW, a.</w:t>
            </w:r>
            <w:r w:rsidR="00A90F96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s.</w:t>
            </w:r>
          </w:p>
        </w:tc>
        <w:tc>
          <w:tcPr>
            <w:tcW w:w="1357" w:type="dxa"/>
            <w:shd w:val="clear" w:color="auto" w:fill="auto"/>
          </w:tcPr>
          <w:p w:rsidR="00C847B9" w:rsidRPr="00096612" w:rsidRDefault="00C847B9" w:rsidP="00B62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25892533</w:t>
            </w:r>
          </w:p>
        </w:tc>
        <w:tc>
          <w:tcPr>
            <w:tcW w:w="2852" w:type="dxa"/>
            <w:shd w:val="clear" w:color="auto" w:fill="auto"/>
          </w:tcPr>
          <w:p w:rsidR="00C847B9" w:rsidRPr="00096612" w:rsidRDefault="00C847B9" w:rsidP="00B62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Olomouc, tř. Kosmonautů 1288/1, Hodolany, </w:t>
            </w: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PSČ 779 00 </w:t>
            </w:r>
          </w:p>
        </w:tc>
      </w:tr>
    </w:tbl>
    <w:p w:rsidR="00AF735D" w:rsidRPr="00096612" w:rsidRDefault="00AF735D" w:rsidP="00C847B9">
      <w:pPr>
        <w:pStyle w:val="Titulek"/>
        <w:rPr>
          <w:rFonts w:ascii="Arial" w:hAnsi="Arial" w:cs="Arial"/>
          <w:color w:val="000000" w:themeColor="text1"/>
        </w:rPr>
      </w:pPr>
    </w:p>
    <w:p w:rsidR="00C847B9" w:rsidRPr="00096612" w:rsidRDefault="00C847B9" w:rsidP="00C847B9">
      <w:pPr>
        <w:pStyle w:val="Titulek"/>
        <w:rPr>
          <w:rFonts w:ascii="Arial" w:hAnsi="Arial" w:cs="Arial"/>
          <w:color w:val="000000" w:themeColor="text1"/>
        </w:rPr>
      </w:pPr>
      <w:bookmarkStart w:id="114" w:name="_Toc952152"/>
      <w:r w:rsidRPr="00096612">
        <w:rPr>
          <w:rFonts w:ascii="Arial" w:hAnsi="Arial" w:cs="Arial"/>
          <w:color w:val="000000" w:themeColor="text1"/>
        </w:rPr>
        <w:t xml:space="preserve">Tabulka </w:t>
      </w:r>
      <w:r w:rsidR="00A54EE7" w:rsidRPr="00096612">
        <w:rPr>
          <w:rFonts w:ascii="Arial" w:hAnsi="Arial" w:cs="Arial"/>
          <w:color w:val="000000" w:themeColor="text1"/>
        </w:rPr>
        <w:t xml:space="preserve">č. </w:t>
      </w:r>
      <w:r w:rsidR="00BA11DE" w:rsidRPr="00096612">
        <w:rPr>
          <w:rFonts w:ascii="Arial" w:hAnsi="Arial" w:cs="Arial"/>
          <w:color w:val="000000" w:themeColor="text1"/>
        </w:rPr>
        <w:t xml:space="preserve">3 </w:t>
      </w:r>
      <w:r w:rsidRPr="00096612">
        <w:rPr>
          <w:rFonts w:ascii="Arial" w:hAnsi="Arial" w:cs="Arial"/>
          <w:color w:val="000000" w:themeColor="text1"/>
        </w:rPr>
        <w:t>- Paušální měsíční náklady na Provoz NEN podle služeb</w:t>
      </w:r>
      <w:bookmarkEnd w:id="114"/>
    </w:p>
    <w:tbl>
      <w:tblPr>
        <w:tblW w:w="901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1"/>
        <w:gridCol w:w="2702"/>
      </w:tblGrid>
      <w:tr w:rsidR="0096165B" w:rsidRPr="00096612" w:rsidTr="00561EEF">
        <w:trPr>
          <w:trHeight w:val="567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Služba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Cena s DPH/měsíčně</w:t>
            </w:r>
          </w:p>
        </w:tc>
      </w:tr>
      <w:tr w:rsidR="0096165B" w:rsidRPr="00096612" w:rsidTr="00561EEF">
        <w:trPr>
          <w:trHeight w:val="307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Služby datových center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462 393,-Kč</w:t>
            </w:r>
          </w:p>
        </w:tc>
      </w:tr>
      <w:tr w:rsidR="0096165B" w:rsidRPr="00096612" w:rsidTr="00561EEF">
        <w:trPr>
          <w:trHeight w:val="307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Řízení a správa provozního prostředí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1 364 018,-Kč</w:t>
            </w:r>
          </w:p>
        </w:tc>
      </w:tr>
      <w:tr w:rsidR="0096165B" w:rsidRPr="00096612" w:rsidTr="00561EEF">
        <w:trPr>
          <w:trHeight w:val="307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Řízení lidských zdrojů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198 053,-Kč</w:t>
            </w:r>
          </w:p>
        </w:tc>
      </w:tr>
      <w:tr w:rsidR="0096165B" w:rsidRPr="00096612" w:rsidTr="00561EEF">
        <w:trPr>
          <w:trHeight w:val="307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Poskytování technické podpory a údržby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1 412 917,-Kč</w:t>
            </w:r>
          </w:p>
        </w:tc>
      </w:tr>
      <w:tr w:rsidR="0096165B" w:rsidRPr="00096612" w:rsidTr="00561EEF">
        <w:trPr>
          <w:trHeight w:val="307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Podpůrné provozní činnosti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170 308,-Kč</w:t>
            </w:r>
          </w:p>
        </w:tc>
      </w:tr>
      <w:tr w:rsidR="0096165B" w:rsidRPr="00096612" w:rsidTr="00561EEF">
        <w:trPr>
          <w:trHeight w:val="307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Zajištění plnění povinností příjemce podpory ze SF EU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3 267,-Kč</w:t>
            </w:r>
          </w:p>
        </w:tc>
      </w:tr>
      <w:tr w:rsidR="0096165B" w:rsidRPr="00096612" w:rsidTr="00561EEF">
        <w:trPr>
          <w:trHeight w:val="307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7B9" w:rsidRPr="00096612" w:rsidRDefault="00C847B9" w:rsidP="00C53B61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3</w:t>
            </w:r>
            <w:r w:rsidR="00C53B61" w:rsidRPr="00096612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 610</w:t>
            </w:r>
            <w:r w:rsidR="00841A3E" w:rsidRPr="00096612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C53B61" w:rsidRPr="00096612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956</w:t>
            </w:r>
            <w:r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,-Kč</w:t>
            </w:r>
            <w:r w:rsidR="00841A3E" w:rsidRPr="0009661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C847B9" w:rsidRPr="00096612" w:rsidRDefault="00C847B9" w:rsidP="00C847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847B9" w:rsidRPr="00096612" w:rsidRDefault="00C847B9" w:rsidP="00C847B9">
      <w:pPr>
        <w:rPr>
          <w:rFonts w:ascii="Arial" w:hAnsi="Arial" w:cs="Arial"/>
          <w:color w:val="000000" w:themeColor="text1"/>
        </w:rPr>
      </w:pPr>
    </w:p>
    <w:p w:rsidR="00530305" w:rsidRPr="00096612" w:rsidRDefault="00530305" w:rsidP="00C847B9">
      <w:pPr>
        <w:rPr>
          <w:rFonts w:ascii="Arial" w:hAnsi="Arial" w:cs="Arial"/>
          <w:color w:val="000000" w:themeColor="text1"/>
        </w:rPr>
      </w:pPr>
    </w:p>
    <w:p w:rsidR="00444313" w:rsidRPr="00096612" w:rsidRDefault="00C847B9" w:rsidP="00444313">
      <w:pPr>
        <w:pStyle w:val="Nadpis2"/>
        <w:spacing w:after="120"/>
        <w:ind w:left="578" w:hanging="578"/>
        <w:rPr>
          <w:rFonts w:ascii="Arial" w:hAnsi="Arial" w:cs="Arial"/>
          <w:caps/>
          <w:color w:val="000000" w:themeColor="text1"/>
          <w:sz w:val="24"/>
        </w:rPr>
      </w:pPr>
      <w:bookmarkStart w:id="115" w:name="_Toc505859089"/>
      <w:bookmarkStart w:id="116" w:name="_Toc36798605"/>
      <w:r w:rsidRPr="00096612">
        <w:rPr>
          <w:rFonts w:ascii="Arial" w:hAnsi="Arial" w:cs="Arial"/>
          <w:caps/>
          <w:color w:val="000000" w:themeColor="text1"/>
          <w:sz w:val="24"/>
        </w:rPr>
        <w:lastRenderedPageBreak/>
        <w:t>Statistiky Technické stránky provozu NEN</w:t>
      </w:r>
      <w:bookmarkEnd w:id="115"/>
      <w:bookmarkEnd w:id="116"/>
      <w:r w:rsidRPr="00096612">
        <w:rPr>
          <w:rFonts w:ascii="Arial" w:hAnsi="Arial" w:cs="Arial"/>
          <w:caps/>
          <w:color w:val="000000" w:themeColor="text1"/>
          <w:sz w:val="24"/>
        </w:rPr>
        <w:t xml:space="preserve"> </w:t>
      </w:r>
    </w:p>
    <w:p w:rsidR="00444313" w:rsidRPr="00096612" w:rsidRDefault="00444313" w:rsidP="00444313">
      <w:pPr>
        <w:spacing w:after="0" w:line="240" w:lineRule="auto"/>
        <w:rPr>
          <w:color w:val="000000" w:themeColor="text1"/>
        </w:rPr>
      </w:pPr>
    </w:p>
    <w:p w:rsidR="00C847B9" w:rsidRPr="00096612" w:rsidRDefault="00C847B9" w:rsidP="00AF735D">
      <w:pPr>
        <w:pStyle w:val="Nadpis3"/>
        <w:rPr>
          <w:rFonts w:ascii="Arial" w:hAnsi="Arial" w:cs="Arial"/>
          <w:caps/>
          <w:color w:val="000000" w:themeColor="text1"/>
          <w:sz w:val="20"/>
        </w:rPr>
      </w:pPr>
      <w:bookmarkStart w:id="117" w:name="_Toc505859090"/>
      <w:bookmarkStart w:id="118" w:name="_Toc36798606"/>
      <w:r w:rsidRPr="00096612">
        <w:rPr>
          <w:rFonts w:ascii="Arial" w:hAnsi="Arial" w:cs="Arial"/>
          <w:caps/>
          <w:color w:val="000000" w:themeColor="text1"/>
          <w:sz w:val="20"/>
        </w:rPr>
        <w:t>Dostupnost NEN</w:t>
      </w:r>
      <w:bookmarkEnd w:id="117"/>
      <w:bookmarkEnd w:id="118"/>
    </w:p>
    <w:p w:rsidR="00C847B9" w:rsidRPr="00096612" w:rsidRDefault="00C847B9" w:rsidP="00C847B9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C847B9" w:rsidRPr="00096612" w:rsidRDefault="00C847B9" w:rsidP="00444313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Dostupnost a spolehlivost aplikace NEN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 xml:space="preserve"> (viz tabulka č. </w:t>
      </w:r>
      <w:r w:rsidR="00BA11DE" w:rsidRPr="00096612">
        <w:rPr>
          <w:rFonts w:ascii="Arial" w:hAnsi="Arial" w:cs="Arial"/>
          <w:color w:val="000000" w:themeColor="text1"/>
          <w:sz w:val="20"/>
          <w:szCs w:val="20"/>
        </w:rPr>
        <w:t>4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>)</w:t>
      </w:r>
      <w:r w:rsidR="00C1249F" w:rsidRPr="00096612">
        <w:rPr>
          <w:rFonts w:ascii="Arial" w:hAnsi="Arial" w:cs="Arial"/>
          <w:color w:val="000000" w:themeColor="text1"/>
          <w:sz w:val="20"/>
          <w:szCs w:val="20"/>
        </w:rPr>
        <w:t xml:space="preserve"> je garantována P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rovozovatelem NEN. Minimální dostupnost systému NEN je dle přílohy Smlouvy o zajištění provozu NEN č. 1 Specifikace služeb, provozních a SLA parametrů 99, 7 %. Dostupnost aplikace NEN za období od 1. 1. </w:t>
      </w:r>
      <w:r w:rsidR="00515F2A" w:rsidRPr="00096612">
        <w:rPr>
          <w:rFonts w:ascii="Arial" w:hAnsi="Arial" w:cs="Arial"/>
          <w:color w:val="000000" w:themeColor="text1"/>
          <w:sz w:val="20"/>
          <w:szCs w:val="20"/>
        </w:rPr>
        <w:t>2019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br/>
      </w:r>
      <w:r w:rsidRPr="00096612">
        <w:rPr>
          <w:rFonts w:ascii="Arial" w:hAnsi="Arial" w:cs="Arial"/>
          <w:color w:val="000000" w:themeColor="text1"/>
          <w:sz w:val="20"/>
          <w:szCs w:val="20"/>
        </w:rPr>
        <w:t>do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31. 12. </w:t>
      </w:r>
      <w:r w:rsidR="003624C0" w:rsidRPr="00096612">
        <w:rPr>
          <w:rFonts w:ascii="Arial" w:hAnsi="Arial" w:cs="Arial"/>
          <w:color w:val="000000" w:themeColor="text1"/>
          <w:sz w:val="20"/>
          <w:szCs w:val="20"/>
        </w:rPr>
        <w:t xml:space="preserve">2019 </w:t>
      </w:r>
      <w:r w:rsidR="00455887" w:rsidRPr="00096612">
        <w:rPr>
          <w:rFonts w:ascii="Arial" w:hAnsi="Arial" w:cs="Arial"/>
          <w:color w:val="000000" w:themeColor="text1"/>
          <w:sz w:val="20"/>
          <w:szCs w:val="20"/>
        </w:rPr>
        <w:t>je 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zobrazena v níže uvedené tabulce.</w:t>
      </w:r>
    </w:p>
    <w:p w:rsidR="00CE3E1D" w:rsidRPr="00096612" w:rsidRDefault="00CE3E1D" w:rsidP="00444313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15F2A" w:rsidRPr="00096612" w:rsidRDefault="00CE3E1D" w:rsidP="00BF3FB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NEN v roce </w:t>
      </w:r>
      <w:r w:rsidR="001F7F55" w:rsidRPr="00096612">
        <w:rPr>
          <w:rFonts w:ascii="Arial" w:hAnsi="Arial" w:cs="Arial"/>
          <w:color w:val="000000" w:themeColor="text1"/>
          <w:sz w:val="20"/>
          <w:szCs w:val="20"/>
        </w:rPr>
        <w:t xml:space="preserve">2019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postihl</w:t>
      </w:r>
      <w:r w:rsidR="00247932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21D1" w:rsidRPr="00096612">
        <w:rPr>
          <w:rFonts w:ascii="Arial" w:hAnsi="Arial" w:cs="Arial"/>
          <w:color w:val="000000" w:themeColor="text1"/>
          <w:sz w:val="20"/>
          <w:szCs w:val="20"/>
        </w:rPr>
        <w:t xml:space="preserve">jeden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výpadek</w:t>
      </w:r>
      <w:r w:rsidR="00C621D1" w:rsidRPr="00096612">
        <w:rPr>
          <w:rFonts w:ascii="Arial" w:hAnsi="Arial" w:cs="Arial"/>
          <w:color w:val="000000" w:themeColor="text1"/>
          <w:sz w:val="20"/>
          <w:szCs w:val="20"/>
        </w:rPr>
        <w:t xml:space="preserve"> v pracovní době</w:t>
      </w:r>
      <w:r w:rsidR="005E1E60" w:rsidRPr="00096612">
        <w:rPr>
          <w:rFonts w:ascii="Arial" w:hAnsi="Arial" w:cs="Arial"/>
          <w:color w:val="000000" w:themeColor="text1"/>
          <w:sz w:val="20"/>
          <w:szCs w:val="20"/>
        </w:rPr>
        <w:t>,</w:t>
      </w:r>
      <w:r w:rsidR="00CA0D25" w:rsidRPr="00096612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1F7F55" w:rsidRPr="00096612">
        <w:rPr>
          <w:rFonts w:ascii="Arial" w:hAnsi="Arial" w:cs="Arial"/>
          <w:color w:val="000000" w:themeColor="text1"/>
          <w:sz w:val="20"/>
          <w:szCs w:val="20"/>
        </w:rPr>
        <w:t xml:space="preserve"> to</w:t>
      </w:r>
      <w:r w:rsidR="005C44D8" w:rsidRPr="00096612">
        <w:rPr>
          <w:rFonts w:ascii="Arial" w:hAnsi="Arial" w:cs="Arial"/>
          <w:color w:val="000000" w:themeColor="text1"/>
          <w:sz w:val="20"/>
          <w:szCs w:val="20"/>
        </w:rPr>
        <w:t xml:space="preserve"> dne 10. 1. 2019</w:t>
      </w:r>
      <w:r w:rsidR="001F7F55" w:rsidRPr="00096612">
        <w:rPr>
          <w:rFonts w:ascii="Arial" w:hAnsi="Arial" w:cs="Arial"/>
          <w:color w:val="000000" w:themeColor="text1"/>
          <w:sz w:val="20"/>
          <w:szCs w:val="20"/>
        </w:rPr>
        <w:t xml:space="preserve"> v době od 8:25 do 8:54 došlo k výpadku systému NEN. Výpadek byl způsoben technickou závadou na infrastruktuře. </w:t>
      </w:r>
    </w:p>
    <w:p w:rsidR="001F7F55" w:rsidRPr="00096612" w:rsidRDefault="00455887" w:rsidP="00BF3FB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Zbylé výpadky se </w:t>
      </w:r>
      <w:r w:rsidR="00247932" w:rsidRPr="00096612">
        <w:rPr>
          <w:rFonts w:ascii="Arial" w:hAnsi="Arial" w:cs="Arial"/>
          <w:color w:val="000000" w:themeColor="text1"/>
          <w:sz w:val="20"/>
          <w:szCs w:val="20"/>
        </w:rPr>
        <w:t xml:space="preserve">nedotýkaly pracovní doby. </w:t>
      </w:r>
    </w:p>
    <w:p w:rsidR="00F53F4C" w:rsidRPr="00096612" w:rsidRDefault="00F53F4C" w:rsidP="00BF3FB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E3E1D" w:rsidRPr="00096612" w:rsidRDefault="00247932" w:rsidP="00BF3FB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V roce </w:t>
      </w:r>
      <w:r w:rsidR="001F7F55" w:rsidRPr="00096612">
        <w:rPr>
          <w:rFonts w:ascii="Arial" w:hAnsi="Arial" w:cs="Arial"/>
          <w:color w:val="000000" w:themeColor="text1"/>
          <w:sz w:val="20"/>
          <w:szCs w:val="20"/>
        </w:rPr>
        <w:t xml:space="preserve">2019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také</w:t>
      </w:r>
      <w:r w:rsidR="00CE3E1D" w:rsidRPr="00096612">
        <w:rPr>
          <w:rFonts w:ascii="Arial" w:hAnsi="Arial" w:cs="Arial"/>
          <w:color w:val="000000" w:themeColor="text1"/>
          <w:sz w:val="20"/>
          <w:szCs w:val="20"/>
        </w:rPr>
        <w:t xml:space="preserve"> proběhlo několik plánovaných odstávek z důvodu bezpečnostních aktualizací a</w:t>
      </w:r>
      <w:r w:rsidR="005E1E60" w:rsidRPr="00096612">
        <w:rPr>
          <w:rFonts w:ascii="Arial" w:hAnsi="Arial" w:cs="Arial"/>
          <w:color w:val="000000" w:themeColor="text1"/>
          <w:sz w:val="20"/>
          <w:szCs w:val="20"/>
        </w:rPr>
        <w:t> </w:t>
      </w:r>
      <w:r w:rsidR="00CE3E1D" w:rsidRPr="00096612">
        <w:rPr>
          <w:rFonts w:ascii="Arial" w:hAnsi="Arial" w:cs="Arial"/>
          <w:color w:val="000000" w:themeColor="text1"/>
          <w:sz w:val="20"/>
          <w:szCs w:val="20"/>
        </w:rPr>
        <w:t>servisních oken</w:t>
      </w:r>
      <w:r w:rsidR="001F7F55" w:rsidRPr="00096612">
        <w:rPr>
          <w:rFonts w:ascii="Arial" w:hAnsi="Arial" w:cs="Arial"/>
          <w:color w:val="000000" w:themeColor="text1"/>
          <w:sz w:val="20"/>
          <w:szCs w:val="20"/>
        </w:rPr>
        <w:t xml:space="preserve"> – veškeré informace byly uveřejněny na hlavní stránce NEN.</w:t>
      </w:r>
    </w:p>
    <w:p w:rsidR="00533FC6" w:rsidRPr="00096612" w:rsidRDefault="00533FC6" w:rsidP="00BF3FB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33FC6" w:rsidRPr="00096612" w:rsidRDefault="00533FC6" w:rsidP="0053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33FC6" w:rsidRPr="00096612" w:rsidRDefault="00533FC6" w:rsidP="0053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Provozní událost systému </w:t>
      </w:r>
      <w:proofErr w:type="gramStart"/>
      <w:r w:rsidRPr="00096612">
        <w:rPr>
          <w:rFonts w:ascii="Arial" w:hAnsi="Arial" w:cs="Arial"/>
          <w:color w:val="000000" w:themeColor="text1"/>
          <w:sz w:val="20"/>
          <w:szCs w:val="20"/>
        </w:rPr>
        <w:t>NEN</w:t>
      </w:r>
      <w:proofErr w:type="gramEnd"/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z února 2019 neměla </w:t>
      </w:r>
      <w:proofErr w:type="gramStart"/>
      <w:r w:rsidRPr="00096612">
        <w:rPr>
          <w:rFonts w:ascii="Arial" w:hAnsi="Arial" w:cs="Arial"/>
          <w:color w:val="000000" w:themeColor="text1"/>
          <w:sz w:val="20"/>
          <w:szCs w:val="20"/>
        </w:rPr>
        <w:t>dopad</w:t>
      </w:r>
      <w:proofErr w:type="gramEnd"/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na smluvně stanovenou dostupnost systému NEN. V průběhu schváleného a plánovaného servisního ok</w:t>
      </w:r>
      <w:r w:rsidR="00C21872" w:rsidRPr="00096612">
        <w:rPr>
          <w:rFonts w:ascii="Arial" w:hAnsi="Arial" w:cs="Arial"/>
          <w:color w:val="000000" w:themeColor="text1"/>
          <w:sz w:val="20"/>
          <w:szCs w:val="20"/>
        </w:rPr>
        <w:t>na došlo k zastavení archivace. N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ásledně byla Provozovatelem NEN identifikována, prověřena nedostupnost dokumentů a řešena s ohledem na krizový plán.</w:t>
      </w:r>
    </w:p>
    <w:p w:rsidR="00533FC6" w:rsidRPr="00096612" w:rsidRDefault="00533FC6" w:rsidP="00BF3FB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F735D" w:rsidRPr="00096612" w:rsidRDefault="00AF735D" w:rsidP="00BF3FB9">
      <w:pPr>
        <w:pStyle w:val="Titulek"/>
        <w:keepNext/>
        <w:rPr>
          <w:rFonts w:ascii="Arial" w:hAnsi="Arial" w:cs="Arial"/>
          <w:color w:val="000000" w:themeColor="text1"/>
        </w:rPr>
      </w:pPr>
    </w:p>
    <w:p w:rsidR="00C847B9" w:rsidRPr="00096612" w:rsidRDefault="00C847B9" w:rsidP="00BF3FB9">
      <w:pPr>
        <w:pStyle w:val="Titulek"/>
        <w:keepNext/>
        <w:rPr>
          <w:rFonts w:ascii="Arial" w:hAnsi="Arial" w:cs="Arial"/>
          <w:color w:val="000000" w:themeColor="text1"/>
        </w:rPr>
      </w:pPr>
      <w:bookmarkStart w:id="119" w:name="_Toc952153"/>
      <w:r w:rsidRPr="00096612">
        <w:rPr>
          <w:rFonts w:ascii="Arial" w:hAnsi="Arial" w:cs="Arial"/>
          <w:color w:val="000000" w:themeColor="text1"/>
        </w:rPr>
        <w:t>Tabulka</w:t>
      </w:r>
      <w:r w:rsidR="00A54EE7" w:rsidRPr="00096612">
        <w:rPr>
          <w:rFonts w:ascii="Arial" w:hAnsi="Arial" w:cs="Arial"/>
          <w:color w:val="000000" w:themeColor="text1"/>
        </w:rPr>
        <w:t xml:space="preserve"> č.</w:t>
      </w:r>
      <w:r w:rsidRPr="00096612">
        <w:rPr>
          <w:rFonts w:ascii="Arial" w:hAnsi="Arial" w:cs="Arial"/>
          <w:color w:val="000000" w:themeColor="text1"/>
        </w:rPr>
        <w:t xml:space="preserve"> </w:t>
      </w:r>
      <w:r w:rsidR="00BA11DE" w:rsidRPr="00096612">
        <w:rPr>
          <w:rFonts w:ascii="Arial" w:hAnsi="Arial" w:cs="Arial"/>
          <w:color w:val="000000" w:themeColor="text1"/>
        </w:rPr>
        <w:t xml:space="preserve">4 </w:t>
      </w:r>
      <w:r w:rsidRPr="00096612">
        <w:rPr>
          <w:rFonts w:ascii="Arial" w:hAnsi="Arial" w:cs="Arial"/>
          <w:color w:val="000000" w:themeColor="text1"/>
        </w:rPr>
        <w:t xml:space="preserve">- Dostupnost aplikace NEN za období od 1. 1. </w:t>
      </w:r>
      <w:r w:rsidR="00F53F4C" w:rsidRPr="00096612">
        <w:rPr>
          <w:rFonts w:ascii="Arial" w:hAnsi="Arial" w:cs="Arial"/>
          <w:color w:val="000000" w:themeColor="text1"/>
        </w:rPr>
        <w:t xml:space="preserve">2019 </w:t>
      </w:r>
      <w:r w:rsidRPr="00096612">
        <w:rPr>
          <w:rFonts w:ascii="Arial" w:hAnsi="Arial" w:cs="Arial"/>
          <w:color w:val="000000" w:themeColor="text1"/>
        </w:rPr>
        <w:t xml:space="preserve">do 31. 12. </w:t>
      </w:r>
      <w:bookmarkEnd w:id="119"/>
      <w:r w:rsidR="00A35A9B" w:rsidRPr="00096612">
        <w:rPr>
          <w:rFonts w:ascii="Arial" w:hAnsi="Arial" w:cs="Arial"/>
          <w:color w:val="000000" w:themeColor="text1"/>
        </w:rPr>
        <w:t>2019</w:t>
      </w:r>
    </w:p>
    <w:tbl>
      <w:tblPr>
        <w:tblW w:w="8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4"/>
        <w:gridCol w:w="4181"/>
      </w:tblGrid>
      <w:tr w:rsidR="0096165B" w:rsidRPr="00096612" w:rsidTr="00561EEF">
        <w:trPr>
          <w:trHeight w:val="199"/>
        </w:trPr>
        <w:tc>
          <w:tcPr>
            <w:tcW w:w="4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cs-CZ"/>
              </w:rPr>
              <w:t>Dostupnost</w:t>
            </w:r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D9" w:rsidRPr="00096612" w:rsidRDefault="003E08D9" w:rsidP="00B6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</w:pPr>
          </w:p>
          <w:p w:rsidR="00C847B9" w:rsidRPr="00096612" w:rsidRDefault="003E08D9" w:rsidP="00B6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99,9</w:t>
            </w:r>
            <w:r w:rsidR="00111D5F"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9</w:t>
            </w:r>
            <w:r w:rsidR="00C847B9"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%</w:t>
            </w:r>
          </w:p>
        </w:tc>
      </w:tr>
      <w:tr w:rsidR="0096165B" w:rsidRPr="00096612" w:rsidTr="00561EEF">
        <w:trPr>
          <w:trHeight w:val="334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cs-CZ"/>
              </w:rPr>
              <w:t>Výpadky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7B9" w:rsidRPr="00096612" w:rsidRDefault="00111D5F" w:rsidP="00B6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29</w:t>
            </w:r>
            <w:r w:rsidR="00C847B9"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 xml:space="preserve"> min</w:t>
            </w:r>
            <w:r w:rsidR="003B54A4"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.</w:t>
            </w:r>
          </w:p>
        </w:tc>
      </w:tr>
    </w:tbl>
    <w:p w:rsidR="00C847B9" w:rsidRPr="00096612" w:rsidRDefault="00C847B9" w:rsidP="00C847B9">
      <w:pPr>
        <w:rPr>
          <w:rFonts w:ascii="Arial" w:hAnsi="Arial" w:cs="Arial"/>
          <w:color w:val="000000" w:themeColor="text1"/>
        </w:rPr>
      </w:pPr>
    </w:p>
    <w:p w:rsidR="00C847B9" w:rsidRPr="00096612" w:rsidRDefault="00427D4C" w:rsidP="00C847B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</w:rPr>
        <w:t xml:space="preserve">SD </w:t>
      </w:r>
      <w:r w:rsidR="00C847B9" w:rsidRPr="00096612">
        <w:rPr>
          <w:rFonts w:ascii="Arial" w:hAnsi="Arial" w:cs="Arial"/>
          <w:color w:val="000000" w:themeColor="text1"/>
          <w:sz w:val="20"/>
        </w:rPr>
        <w:t>je komplexní systém k zajištění všech úrovní podpory pro správu uživatelských požadavků, incidentů a dotazů na systém NEN, atd. Uživatelům NEN je k dispozici přes webové rozhraní. Správci NEN slouží pro kontrolu a vyhodnocování ú</w:t>
      </w:r>
      <w:r w:rsidR="00CE3797" w:rsidRPr="00096612">
        <w:rPr>
          <w:rFonts w:ascii="Arial" w:hAnsi="Arial" w:cs="Arial"/>
          <w:color w:val="000000" w:themeColor="text1"/>
          <w:sz w:val="20"/>
        </w:rPr>
        <w:t>činnosti a úspěšnosti procesů a </w:t>
      </w:r>
      <w:r w:rsidR="00C847B9" w:rsidRPr="00096612">
        <w:rPr>
          <w:rFonts w:ascii="Arial" w:hAnsi="Arial" w:cs="Arial"/>
          <w:color w:val="000000" w:themeColor="text1"/>
          <w:sz w:val="20"/>
        </w:rPr>
        <w:t xml:space="preserve">systémů podpory a jejich SLA parametrů dle </w:t>
      </w:r>
      <w:r w:rsidR="003B54A4" w:rsidRPr="00096612">
        <w:rPr>
          <w:rFonts w:ascii="Arial" w:hAnsi="Arial" w:cs="Arial"/>
          <w:color w:val="000000" w:themeColor="text1"/>
          <w:sz w:val="20"/>
        </w:rPr>
        <w:t>s</w:t>
      </w:r>
      <w:r w:rsidR="00C847B9" w:rsidRPr="00096612">
        <w:rPr>
          <w:rFonts w:ascii="Arial" w:hAnsi="Arial" w:cs="Arial"/>
          <w:color w:val="000000" w:themeColor="text1"/>
          <w:sz w:val="20"/>
        </w:rPr>
        <w:t xml:space="preserve">mlouvy. Dostupnost systému SD </w:t>
      </w:r>
      <w:r w:rsidR="00CE3797" w:rsidRPr="00096612">
        <w:rPr>
          <w:rFonts w:ascii="Arial" w:hAnsi="Arial" w:cs="Arial"/>
          <w:color w:val="000000" w:themeColor="text1"/>
          <w:sz w:val="20"/>
          <w:szCs w:val="20"/>
        </w:rPr>
        <w:t>za období od 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1.</w:t>
      </w:r>
      <w:r w:rsidR="00CE3797" w:rsidRPr="00096612">
        <w:rPr>
          <w:rFonts w:ascii="Arial" w:hAnsi="Arial" w:cs="Arial"/>
          <w:color w:val="000000" w:themeColor="text1"/>
          <w:sz w:val="20"/>
          <w:szCs w:val="20"/>
        </w:rPr>
        <w:t> 1. </w:t>
      </w:r>
      <w:r w:rsidR="00515F2A" w:rsidRPr="00096612">
        <w:rPr>
          <w:rFonts w:ascii="Arial" w:hAnsi="Arial" w:cs="Arial"/>
          <w:color w:val="000000" w:themeColor="text1"/>
          <w:sz w:val="20"/>
          <w:szCs w:val="20"/>
        </w:rPr>
        <w:t>201</w:t>
      </w:r>
      <w:r w:rsidR="00CA0D25" w:rsidRPr="00096612">
        <w:rPr>
          <w:rFonts w:ascii="Arial" w:hAnsi="Arial" w:cs="Arial"/>
          <w:color w:val="000000" w:themeColor="text1"/>
          <w:sz w:val="20"/>
          <w:szCs w:val="20"/>
        </w:rPr>
        <w:t>9</w:t>
      </w:r>
      <w:r w:rsidR="00515F2A" w:rsidRPr="00096612">
        <w:rPr>
          <w:rFonts w:ascii="Arial" w:hAnsi="Arial" w:cs="Arial"/>
          <w:color w:val="000000" w:themeColor="text1"/>
          <w:sz w:val="20"/>
          <w:szCs w:val="20"/>
        </w:rPr>
        <w:t> 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 xml:space="preserve">do 31. 12. </w:t>
      </w:r>
      <w:r w:rsidR="00515F2A" w:rsidRPr="00096612">
        <w:rPr>
          <w:rFonts w:ascii="Arial" w:hAnsi="Arial" w:cs="Arial"/>
          <w:color w:val="000000" w:themeColor="text1"/>
          <w:sz w:val="20"/>
          <w:szCs w:val="20"/>
        </w:rPr>
        <w:t xml:space="preserve">2019 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je zo</w:t>
      </w:r>
      <w:r w:rsidR="00912CCA" w:rsidRPr="00096612">
        <w:rPr>
          <w:rFonts w:ascii="Arial" w:hAnsi="Arial" w:cs="Arial"/>
          <w:color w:val="000000" w:themeColor="text1"/>
          <w:sz w:val="20"/>
          <w:szCs w:val="20"/>
        </w:rPr>
        <w:t>brazena v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> </w:t>
      </w:r>
      <w:r w:rsidR="00912CCA" w:rsidRPr="00096612">
        <w:rPr>
          <w:rFonts w:ascii="Arial" w:hAnsi="Arial" w:cs="Arial"/>
          <w:color w:val="000000" w:themeColor="text1"/>
          <w:sz w:val="20"/>
          <w:szCs w:val="20"/>
        </w:rPr>
        <w:t>tabulce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 xml:space="preserve"> č. </w:t>
      </w:r>
      <w:r w:rsidR="00BA11DE" w:rsidRPr="00096612">
        <w:rPr>
          <w:rFonts w:ascii="Arial" w:hAnsi="Arial" w:cs="Arial"/>
          <w:color w:val="000000" w:themeColor="text1"/>
          <w:sz w:val="20"/>
          <w:szCs w:val="20"/>
        </w:rPr>
        <w:t>5</w:t>
      </w:r>
      <w:r w:rsidR="00912CCA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FB9" w:rsidRPr="00096612" w:rsidRDefault="00BF3FB9" w:rsidP="00C847B9">
      <w:pPr>
        <w:pStyle w:val="Titulek"/>
        <w:keepNext/>
        <w:rPr>
          <w:rFonts w:ascii="Arial" w:hAnsi="Arial" w:cs="Arial"/>
          <w:color w:val="000000" w:themeColor="text1"/>
        </w:rPr>
      </w:pPr>
    </w:p>
    <w:p w:rsidR="00C847B9" w:rsidRPr="00096612" w:rsidRDefault="00C847B9" w:rsidP="00C847B9">
      <w:pPr>
        <w:pStyle w:val="Titulek"/>
        <w:keepNext/>
        <w:rPr>
          <w:rFonts w:ascii="Arial" w:hAnsi="Arial" w:cs="Arial"/>
          <w:color w:val="000000" w:themeColor="text1"/>
        </w:rPr>
      </w:pPr>
      <w:bookmarkStart w:id="120" w:name="_Toc952154"/>
      <w:r w:rsidRPr="00096612">
        <w:rPr>
          <w:rFonts w:ascii="Arial" w:hAnsi="Arial" w:cs="Arial"/>
          <w:color w:val="000000" w:themeColor="text1"/>
        </w:rPr>
        <w:t>Tabulka</w:t>
      </w:r>
      <w:r w:rsidR="00A54EE7" w:rsidRPr="00096612">
        <w:rPr>
          <w:rFonts w:ascii="Arial" w:hAnsi="Arial" w:cs="Arial"/>
          <w:color w:val="000000" w:themeColor="text1"/>
        </w:rPr>
        <w:t xml:space="preserve"> č.</w:t>
      </w:r>
      <w:r w:rsidRPr="00096612">
        <w:rPr>
          <w:rFonts w:ascii="Arial" w:hAnsi="Arial" w:cs="Arial"/>
          <w:color w:val="000000" w:themeColor="text1"/>
        </w:rPr>
        <w:t xml:space="preserve"> </w:t>
      </w:r>
      <w:r w:rsidR="00BA11DE" w:rsidRPr="00096612">
        <w:rPr>
          <w:rFonts w:ascii="Arial" w:hAnsi="Arial" w:cs="Arial"/>
          <w:color w:val="000000" w:themeColor="text1"/>
        </w:rPr>
        <w:t xml:space="preserve">5 </w:t>
      </w:r>
      <w:r w:rsidRPr="00096612">
        <w:rPr>
          <w:rFonts w:ascii="Arial" w:hAnsi="Arial" w:cs="Arial"/>
          <w:color w:val="000000" w:themeColor="text1"/>
        </w:rPr>
        <w:t xml:space="preserve">- Dostupnost SD za období od 1. 1. </w:t>
      </w:r>
      <w:r w:rsidR="00F53F4C" w:rsidRPr="00096612">
        <w:rPr>
          <w:rFonts w:ascii="Arial" w:hAnsi="Arial" w:cs="Arial"/>
          <w:color w:val="000000" w:themeColor="text1"/>
        </w:rPr>
        <w:t xml:space="preserve">2019 </w:t>
      </w:r>
      <w:r w:rsidRPr="00096612">
        <w:rPr>
          <w:rFonts w:ascii="Arial" w:hAnsi="Arial" w:cs="Arial"/>
          <w:color w:val="000000" w:themeColor="text1"/>
        </w:rPr>
        <w:t xml:space="preserve">do 31. 12. </w:t>
      </w:r>
      <w:bookmarkEnd w:id="120"/>
      <w:r w:rsidR="00A35A9B" w:rsidRPr="00096612">
        <w:rPr>
          <w:rFonts w:ascii="Arial" w:hAnsi="Arial" w:cs="Arial"/>
          <w:color w:val="000000" w:themeColor="text1"/>
        </w:rPr>
        <w:t>2019</w:t>
      </w:r>
    </w:p>
    <w:tbl>
      <w:tblPr>
        <w:tblW w:w="8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4"/>
        <w:gridCol w:w="4081"/>
      </w:tblGrid>
      <w:tr w:rsidR="0096165B" w:rsidRPr="00096612" w:rsidTr="00C13B0D">
        <w:trPr>
          <w:trHeight w:val="466"/>
        </w:trPr>
        <w:tc>
          <w:tcPr>
            <w:tcW w:w="4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cs-CZ"/>
              </w:rPr>
              <w:t>Dostupnost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7B9" w:rsidRPr="00096612" w:rsidRDefault="00111D5F" w:rsidP="00B6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100</w:t>
            </w:r>
            <w:r w:rsidR="00C847B9"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%</w:t>
            </w:r>
          </w:p>
        </w:tc>
      </w:tr>
      <w:tr w:rsidR="0096165B" w:rsidRPr="00096612" w:rsidTr="00C13B0D">
        <w:trPr>
          <w:trHeight w:val="341"/>
        </w:trPr>
        <w:tc>
          <w:tcPr>
            <w:tcW w:w="4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cs-CZ"/>
              </w:rPr>
              <w:t>Výpadky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7B9" w:rsidRPr="00096612" w:rsidRDefault="00111D5F" w:rsidP="00B6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0</w:t>
            </w:r>
            <w:r w:rsidR="00C847B9"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 xml:space="preserve"> min</w:t>
            </w:r>
            <w:r w:rsidR="003B54A4"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.</w:t>
            </w:r>
          </w:p>
        </w:tc>
      </w:tr>
    </w:tbl>
    <w:p w:rsidR="0002590B" w:rsidRPr="00096612" w:rsidRDefault="0002590B" w:rsidP="0002590B">
      <w:pPr>
        <w:pStyle w:val="Nadpis3"/>
        <w:numPr>
          <w:ilvl w:val="0"/>
          <w:numId w:val="0"/>
        </w:numPr>
        <w:ind w:left="720" w:hanging="720"/>
        <w:rPr>
          <w:rFonts w:ascii="Arial" w:hAnsi="Arial" w:cs="Arial"/>
          <w:caps/>
          <w:color w:val="000000" w:themeColor="text1"/>
          <w:sz w:val="20"/>
        </w:rPr>
      </w:pPr>
      <w:bookmarkStart w:id="121" w:name="_Toc536525997"/>
      <w:bookmarkStart w:id="122" w:name="_Toc505859091"/>
      <w:bookmarkEnd w:id="121"/>
    </w:p>
    <w:bookmarkEnd w:id="122"/>
    <w:p w:rsidR="0002590B" w:rsidRPr="00096612" w:rsidRDefault="0002590B" w:rsidP="00FA0D84">
      <w:pPr>
        <w:jc w:val="both"/>
        <w:rPr>
          <w:rFonts w:ascii="Arial" w:hAnsi="Arial" w:cs="Arial"/>
          <w:color w:val="000000" w:themeColor="text1"/>
          <w:sz w:val="20"/>
        </w:rPr>
      </w:pPr>
    </w:p>
    <w:p w:rsidR="0002590B" w:rsidRPr="00096612" w:rsidRDefault="0002590B" w:rsidP="00FA0D84">
      <w:pPr>
        <w:jc w:val="both"/>
        <w:rPr>
          <w:rFonts w:ascii="Arial" w:hAnsi="Arial" w:cs="Arial"/>
          <w:color w:val="000000" w:themeColor="text1"/>
          <w:sz w:val="20"/>
        </w:rPr>
      </w:pPr>
    </w:p>
    <w:p w:rsidR="0002590B" w:rsidRPr="00096612" w:rsidRDefault="0002590B" w:rsidP="00FA0D84">
      <w:pPr>
        <w:jc w:val="both"/>
        <w:rPr>
          <w:rFonts w:ascii="Arial" w:hAnsi="Arial" w:cs="Arial"/>
          <w:color w:val="000000" w:themeColor="text1"/>
          <w:sz w:val="20"/>
        </w:rPr>
      </w:pPr>
    </w:p>
    <w:p w:rsidR="00665847" w:rsidRPr="00096612" w:rsidRDefault="00665847" w:rsidP="00FA0D84">
      <w:pPr>
        <w:jc w:val="both"/>
        <w:rPr>
          <w:rFonts w:ascii="Arial" w:hAnsi="Arial" w:cs="Arial"/>
          <w:color w:val="000000" w:themeColor="text1"/>
          <w:sz w:val="20"/>
        </w:rPr>
      </w:pPr>
    </w:p>
    <w:p w:rsidR="00CE3797" w:rsidRPr="00096612" w:rsidRDefault="00CE3797" w:rsidP="00FA0D84">
      <w:pPr>
        <w:jc w:val="both"/>
        <w:rPr>
          <w:rFonts w:ascii="Arial" w:hAnsi="Arial" w:cs="Arial"/>
          <w:color w:val="000000" w:themeColor="text1"/>
          <w:sz w:val="20"/>
        </w:rPr>
      </w:pPr>
    </w:p>
    <w:p w:rsidR="00C847B9" w:rsidRPr="00096612" w:rsidRDefault="00C847B9" w:rsidP="00C847B9">
      <w:pPr>
        <w:pStyle w:val="Nadpis2"/>
        <w:rPr>
          <w:rFonts w:ascii="Arial" w:hAnsi="Arial" w:cs="Arial"/>
          <w:caps/>
          <w:color w:val="000000" w:themeColor="text1"/>
          <w:sz w:val="24"/>
        </w:rPr>
      </w:pPr>
      <w:bookmarkStart w:id="123" w:name="_Toc505859093"/>
      <w:bookmarkStart w:id="124" w:name="_Toc36798607"/>
      <w:r w:rsidRPr="00096612">
        <w:rPr>
          <w:rFonts w:ascii="Arial" w:hAnsi="Arial" w:cs="Arial"/>
          <w:caps/>
          <w:color w:val="000000" w:themeColor="text1"/>
          <w:sz w:val="24"/>
        </w:rPr>
        <w:lastRenderedPageBreak/>
        <w:t>statistiky Technické a metodické podpory uživatelů NEN</w:t>
      </w:r>
      <w:bookmarkEnd w:id="123"/>
      <w:bookmarkEnd w:id="124"/>
    </w:p>
    <w:p w:rsidR="00C847B9" w:rsidRPr="00096612" w:rsidRDefault="00C847B9" w:rsidP="00C847B9">
      <w:pPr>
        <w:rPr>
          <w:rFonts w:ascii="Arial" w:hAnsi="Arial" w:cs="Arial"/>
          <w:color w:val="000000" w:themeColor="text1"/>
        </w:rPr>
      </w:pPr>
    </w:p>
    <w:p w:rsidR="00C847B9" w:rsidRPr="00096612" w:rsidRDefault="00C847B9" w:rsidP="00C847B9">
      <w:pPr>
        <w:pStyle w:val="Nadpis3"/>
        <w:rPr>
          <w:rFonts w:ascii="Arial" w:hAnsi="Arial" w:cs="Arial"/>
          <w:caps/>
          <w:color w:val="000000" w:themeColor="text1"/>
          <w:sz w:val="20"/>
        </w:rPr>
      </w:pPr>
      <w:bookmarkStart w:id="125" w:name="_Toc505859094"/>
      <w:bookmarkStart w:id="126" w:name="_Toc36798608"/>
      <w:r w:rsidRPr="00096612">
        <w:rPr>
          <w:rFonts w:ascii="Arial" w:hAnsi="Arial" w:cs="Arial"/>
          <w:caps/>
          <w:color w:val="000000" w:themeColor="text1"/>
          <w:sz w:val="20"/>
        </w:rPr>
        <w:t>Počet přijatých požadavků</w:t>
      </w:r>
      <w:bookmarkEnd w:id="125"/>
      <w:bookmarkEnd w:id="126"/>
      <w:r w:rsidRPr="00096612">
        <w:rPr>
          <w:rFonts w:ascii="Arial" w:hAnsi="Arial" w:cs="Arial"/>
          <w:caps/>
          <w:color w:val="000000" w:themeColor="text1"/>
          <w:sz w:val="20"/>
        </w:rPr>
        <w:t xml:space="preserve">  </w:t>
      </w:r>
    </w:p>
    <w:p w:rsidR="0094364C" w:rsidRPr="00096612" w:rsidRDefault="0094364C" w:rsidP="0094364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847B9" w:rsidRPr="00096612" w:rsidRDefault="00185634" w:rsidP="00C847B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Celkový p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očet přijatých požadavků od uživatelů NEN byl za vyhodnocované ob</w:t>
      </w:r>
      <w:r w:rsidR="005946B8" w:rsidRPr="00096612">
        <w:rPr>
          <w:rFonts w:ascii="Arial" w:hAnsi="Arial" w:cs="Arial"/>
          <w:color w:val="000000" w:themeColor="text1"/>
          <w:sz w:val="20"/>
          <w:szCs w:val="20"/>
        </w:rPr>
        <w:t xml:space="preserve">dobí roku </w:t>
      </w:r>
      <w:r w:rsidR="0048296B" w:rsidRPr="00096612">
        <w:rPr>
          <w:rFonts w:ascii="Arial" w:hAnsi="Arial" w:cs="Arial"/>
          <w:color w:val="000000" w:themeColor="text1"/>
          <w:sz w:val="20"/>
          <w:szCs w:val="20"/>
        </w:rPr>
        <w:t xml:space="preserve">2019 </w:t>
      </w:r>
      <w:r w:rsidR="005946B8" w:rsidRPr="00096612">
        <w:rPr>
          <w:rFonts w:ascii="Arial" w:hAnsi="Arial" w:cs="Arial"/>
          <w:color w:val="000000" w:themeColor="text1"/>
          <w:sz w:val="20"/>
          <w:szCs w:val="20"/>
        </w:rPr>
        <w:t xml:space="preserve">celkem </w:t>
      </w:r>
      <w:r w:rsidR="00560605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32 274</w:t>
      </w:r>
      <w:r w:rsidR="005946B8" w:rsidRPr="0009661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Jednalo se zejména o uživatelské dotazy k aplikaci a službám NEN, požadavky na změnu funkcionalit nebo vlastností systému NEN, žádosti o další služb</w:t>
      </w:r>
      <w:r w:rsidR="00CE3797" w:rsidRPr="00096612">
        <w:rPr>
          <w:rFonts w:ascii="Arial" w:hAnsi="Arial" w:cs="Arial"/>
          <w:color w:val="000000" w:themeColor="text1"/>
          <w:sz w:val="20"/>
          <w:szCs w:val="20"/>
        </w:rPr>
        <w:t>y poskytované Provozovatelem či 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Správcem NEN v souvislosti s fungováním NEN a hlášení provozních událostí a incidentů.</w:t>
      </w:r>
    </w:p>
    <w:p w:rsidR="00C847B9" w:rsidRPr="00096612" w:rsidRDefault="00C847B9" w:rsidP="00C847B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Uživatelé při zadávání požadavku/dotazu využívali všech komunikačních kanálů podpory NEN:</w:t>
      </w:r>
    </w:p>
    <w:p w:rsidR="00C847B9" w:rsidRPr="00096612" w:rsidRDefault="00C847B9" w:rsidP="00A0167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Email -  Hotline@nipez.cz</w:t>
      </w:r>
      <w:r w:rsidR="00CE3797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847B9" w:rsidRPr="00096612" w:rsidRDefault="00C847B9" w:rsidP="00A0167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Telefon (kontaktní linka </w:t>
      </w:r>
      <w:proofErr w:type="spellStart"/>
      <w:r w:rsidRPr="00096612">
        <w:rPr>
          <w:rFonts w:ascii="Arial" w:hAnsi="Arial" w:cs="Arial"/>
          <w:color w:val="000000" w:themeColor="text1"/>
          <w:sz w:val="20"/>
          <w:szCs w:val="20"/>
        </w:rPr>
        <w:t>Helpdesk</w:t>
      </w:r>
      <w:proofErr w:type="spellEnd"/>
      <w:r w:rsidRPr="00096612">
        <w:rPr>
          <w:rFonts w:ascii="Arial" w:hAnsi="Arial" w:cs="Arial"/>
          <w:color w:val="000000" w:themeColor="text1"/>
          <w:sz w:val="20"/>
          <w:szCs w:val="20"/>
        </w:rPr>
        <w:t>, resp. call-centra) +420 841 888</w:t>
      </w:r>
      <w:r w:rsidR="00CE3797" w:rsidRPr="0009661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841</w:t>
      </w:r>
      <w:r w:rsidR="00CE3797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847B9" w:rsidRPr="00096612" w:rsidRDefault="00C847B9" w:rsidP="00A0167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Webové rozhraní pro reg</w:t>
      </w:r>
      <w:r w:rsidR="00CE3797" w:rsidRPr="00096612">
        <w:rPr>
          <w:rFonts w:ascii="Arial" w:hAnsi="Arial" w:cs="Arial"/>
          <w:color w:val="000000" w:themeColor="text1"/>
          <w:sz w:val="20"/>
          <w:szCs w:val="20"/>
        </w:rPr>
        <w:t xml:space="preserve">istrované uživatele </w:t>
      </w:r>
      <w:proofErr w:type="spellStart"/>
      <w:r w:rsidR="00CE3797" w:rsidRPr="00096612">
        <w:rPr>
          <w:rFonts w:ascii="Arial" w:hAnsi="Arial" w:cs="Arial"/>
          <w:color w:val="000000" w:themeColor="text1"/>
          <w:sz w:val="20"/>
          <w:szCs w:val="20"/>
        </w:rPr>
        <w:t>ServiceDesk</w:t>
      </w:r>
      <w:proofErr w:type="spellEnd"/>
      <w:r w:rsidR="00CE3797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D10DD" w:rsidRPr="00096612" w:rsidRDefault="00C847B9" w:rsidP="00FD10D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Prostřednictvím formuláře „napište nám“ umístěným na </w:t>
      </w:r>
      <w:hyperlink r:id="rId13" w:history="1">
        <w:r w:rsidRPr="00096612">
          <w:rPr>
            <w:rStyle w:val="Hypertextovodkaz"/>
            <w:rFonts w:ascii="Arial" w:hAnsi="Arial" w:cs="Arial"/>
            <w:color w:val="000000" w:themeColor="text1"/>
            <w:sz w:val="20"/>
            <w:szCs w:val="20"/>
          </w:rPr>
          <w:t>https://nen.nipez.cz</w:t>
        </w:r>
      </w:hyperlink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i pro neregistrované uživatele</w:t>
      </w:r>
      <w:r w:rsidR="00CE3797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D10DD" w:rsidRPr="00096612" w:rsidRDefault="00FD10DD" w:rsidP="00FD10DD">
      <w:pPr>
        <w:pStyle w:val="Odstavecseseznamem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847B9" w:rsidRPr="00096612" w:rsidRDefault="00C847B9" w:rsidP="00C847B9">
      <w:pPr>
        <w:pStyle w:val="Nadpis3"/>
        <w:rPr>
          <w:rFonts w:ascii="Arial" w:hAnsi="Arial" w:cs="Arial"/>
          <w:caps/>
          <w:color w:val="000000" w:themeColor="text1"/>
          <w:sz w:val="20"/>
        </w:rPr>
      </w:pPr>
      <w:bookmarkStart w:id="127" w:name="_Toc505859095"/>
      <w:bookmarkStart w:id="128" w:name="_Toc36798609"/>
      <w:r w:rsidRPr="00096612">
        <w:rPr>
          <w:rFonts w:ascii="Arial" w:hAnsi="Arial" w:cs="Arial"/>
          <w:caps/>
          <w:color w:val="000000" w:themeColor="text1"/>
          <w:sz w:val="20"/>
        </w:rPr>
        <w:t>Struktura a stav řešení přijatých požadavků</w:t>
      </w:r>
      <w:bookmarkEnd w:id="127"/>
      <w:bookmarkEnd w:id="128"/>
      <w:r w:rsidRPr="00096612">
        <w:rPr>
          <w:rFonts w:ascii="Arial" w:hAnsi="Arial" w:cs="Arial"/>
          <w:caps/>
          <w:color w:val="000000" w:themeColor="text1"/>
          <w:sz w:val="20"/>
        </w:rPr>
        <w:t xml:space="preserve"> </w:t>
      </w:r>
    </w:p>
    <w:p w:rsidR="00FD10DD" w:rsidRPr="00096612" w:rsidRDefault="00FD10DD" w:rsidP="00FD10DD">
      <w:pPr>
        <w:rPr>
          <w:color w:val="000000" w:themeColor="text1"/>
        </w:rPr>
      </w:pPr>
    </w:p>
    <w:p w:rsidR="00FD10DD" w:rsidRPr="00096612" w:rsidRDefault="00C847B9" w:rsidP="00FD10DD">
      <w:pPr>
        <w:jc w:val="both"/>
        <w:rPr>
          <w:rFonts w:ascii="Arial" w:hAnsi="Arial" w:cs="Arial"/>
          <w:color w:val="000000" w:themeColor="text1"/>
          <w:sz w:val="20"/>
        </w:rPr>
      </w:pPr>
      <w:r w:rsidRPr="00096612">
        <w:rPr>
          <w:rFonts w:ascii="Arial" w:hAnsi="Arial" w:cs="Arial"/>
          <w:color w:val="000000" w:themeColor="text1"/>
          <w:sz w:val="20"/>
        </w:rPr>
        <w:t xml:space="preserve">Ve vazbě na celkový počet přijatých požadavků dle předchozí kapitoly je v tabulce </w:t>
      </w:r>
      <w:r w:rsidR="009617B4" w:rsidRPr="00096612">
        <w:rPr>
          <w:rFonts w:ascii="Arial" w:hAnsi="Arial" w:cs="Arial"/>
          <w:color w:val="000000" w:themeColor="text1"/>
          <w:sz w:val="20"/>
        </w:rPr>
        <w:t xml:space="preserve">č. </w:t>
      </w:r>
      <w:r w:rsidR="00F93EE7" w:rsidRPr="00096612">
        <w:rPr>
          <w:rFonts w:ascii="Arial" w:hAnsi="Arial" w:cs="Arial"/>
          <w:color w:val="000000" w:themeColor="text1"/>
          <w:sz w:val="20"/>
        </w:rPr>
        <w:t>6</w:t>
      </w:r>
      <w:r w:rsidR="009617B4" w:rsidRPr="00096612">
        <w:rPr>
          <w:rFonts w:ascii="Arial" w:hAnsi="Arial" w:cs="Arial"/>
          <w:color w:val="000000" w:themeColor="text1"/>
          <w:sz w:val="20"/>
        </w:rPr>
        <w:t xml:space="preserve"> </w:t>
      </w:r>
      <w:r w:rsidRPr="00096612">
        <w:rPr>
          <w:rFonts w:ascii="Arial" w:hAnsi="Arial" w:cs="Arial"/>
          <w:color w:val="000000" w:themeColor="text1"/>
          <w:sz w:val="20"/>
        </w:rPr>
        <w:t xml:space="preserve">uvedena struktura </w:t>
      </w:r>
      <w:r w:rsidR="00417F93" w:rsidRPr="00096612">
        <w:rPr>
          <w:rFonts w:ascii="Arial" w:hAnsi="Arial" w:cs="Arial"/>
          <w:color w:val="000000" w:themeColor="text1"/>
          <w:sz w:val="20"/>
        </w:rPr>
        <w:t>dle t</w:t>
      </w:r>
      <w:r w:rsidR="00967A5A" w:rsidRPr="00096612">
        <w:rPr>
          <w:rFonts w:ascii="Arial" w:hAnsi="Arial" w:cs="Arial"/>
          <w:color w:val="000000" w:themeColor="text1"/>
          <w:sz w:val="20"/>
        </w:rPr>
        <w:t>ypu</w:t>
      </w:r>
      <w:r w:rsidRPr="00096612">
        <w:rPr>
          <w:rFonts w:ascii="Arial" w:hAnsi="Arial" w:cs="Arial"/>
          <w:color w:val="000000" w:themeColor="text1"/>
          <w:sz w:val="20"/>
        </w:rPr>
        <w:t xml:space="preserve"> uživatelských požadavků a stav jejich řešení ke dni 31. 12. 201</w:t>
      </w:r>
      <w:r w:rsidR="002C3F48" w:rsidRPr="00096612">
        <w:rPr>
          <w:rFonts w:ascii="Arial" w:hAnsi="Arial" w:cs="Arial"/>
          <w:color w:val="000000" w:themeColor="text1"/>
          <w:sz w:val="20"/>
        </w:rPr>
        <w:t>9</w:t>
      </w:r>
      <w:r w:rsidR="00FD10DD" w:rsidRPr="00096612">
        <w:rPr>
          <w:rFonts w:ascii="Arial" w:hAnsi="Arial" w:cs="Arial"/>
          <w:color w:val="000000" w:themeColor="text1"/>
          <w:sz w:val="20"/>
        </w:rPr>
        <w:t>.</w:t>
      </w:r>
    </w:p>
    <w:p w:rsidR="00C53E31" w:rsidRPr="00096612" w:rsidRDefault="0073208C" w:rsidP="00417F93">
      <w:pPr>
        <w:pStyle w:val="Titulek"/>
        <w:keepNext/>
        <w:rPr>
          <w:rFonts w:ascii="Arial" w:hAnsi="Arial" w:cs="Arial"/>
          <w:color w:val="000000" w:themeColor="text1"/>
        </w:rPr>
      </w:pPr>
      <w:r w:rsidRPr="00096612">
        <w:rPr>
          <w:rFonts w:ascii="Arial" w:hAnsi="Arial" w:cs="Arial"/>
          <w:color w:val="000000" w:themeColor="text1"/>
        </w:rPr>
        <w:t xml:space="preserve">Tabulka </w:t>
      </w:r>
      <w:r w:rsidR="00590E77" w:rsidRPr="00096612">
        <w:rPr>
          <w:rFonts w:ascii="Arial" w:hAnsi="Arial" w:cs="Arial"/>
          <w:color w:val="000000" w:themeColor="text1"/>
        </w:rPr>
        <w:t xml:space="preserve">č. </w:t>
      </w:r>
      <w:r w:rsidR="00BA11DE" w:rsidRPr="00096612">
        <w:rPr>
          <w:rFonts w:ascii="Arial" w:hAnsi="Arial" w:cs="Arial"/>
          <w:color w:val="000000" w:themeColor="text1"/>
        </w:rPr>
        <w:t>6</w:t>
      </w:r>
      <w:r w:rsidR="00C847B9" w:rsidRPr="00096612">
        <w:rPr>
          <w:rFonts w:ascii="Arial" w:hAnsi="Arial" w:cs="Arial"/>
          <w:color w:val="000000" w:themeColor="text1"/>
        </w:rPr>
        <w:t xml:space="preserve"> - SL9 Poskytování technické podpory a servisu</w:t>
      </w:r>
      <w:r w:rsidR="00F30EAD" w:rsidRPr="00096612">
        <w:rPr>
          <w:rFonts w:ascii="Arial" w:hAnsi="Arial" w:cs="Arial"/>
          <w:color w:val="000000" w:themeColor="text1"/>
        </w:rPr>
        <w:t xml:space="preserve"> 201</w:t>
      </w:r>
      <w:r w:rsidR="00A35A9B" w:rsidRPr="00096612">
        <w:rPr>
          <w:rFonts w:ascii="Arial" w:hAnsi="Arial" w:cs="Arial"/>
          <w:color w:val="000000" w:themeColor="text1"/>
        </w:rPr>
        <w:t>9</w:t>
      </w:r>
    </w:p>
    <w:tbl>
      <w:tblPr>
        <w:tblW w:w="8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5"/>
        <w:gridCol w:w="1174"/>
        <w:gridCol w:w="1241"/>
        <w:gridCol w:w="970"/>
      </w:tblGrid>
      <w:tr w:rsidR="0096165B" w:rsidRPr="00096612" w:rsidTr="00561EEF">
        <w:trPr>
          <w:trHeight w:val="765"/>
        </w:trPr>
        <w:tc>
          <w:tcPr>
            <w:tcW w:w="5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90FF6" w:rsidRPr="00096612" w:rsidRDefault="00190FF6" w:rsidP="00190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Typ požadavku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90FF6" w:rsidRPr="00096612" w:rsidRDefault="00190FF6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Počet přijatých požadavků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90FF6" w:rsidRPr="00096612" w:rsidRDefault="00190FF6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Počet uzavřených požadavků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90FF6" w:rsidRPr="00096612" w:rsidRDefault="00190FF6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Čeká se na vyřešení</w:t>
            </w:r>
          </w:p>
        </w:tc>
      </w:tr>
      <w:tr w:rsidR="0096165B" w:rsidRPr="00096612" w:rsidTr="00561EEF">
        <w:trPr>
          <w:trHeight w:val="30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FF6" w:rsidRPr="00096612" w:rsidRDefault="00190FF6" w:rsidP="00190FF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Uživatelské dotazy k aplikaci a službám NEN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6" w:rsidRPr="00096612" w:rsidRDefault="00A35A9B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31282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6" w:rsidRPr="00096612" w:rsidRDefault="00A35A9B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31 214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6" w:rsidRPr="00096612" w:rsidRDefault="00A35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68</w:t>
            </w:r>
          </w:p>
        </w:tc>
      </w:tr>
      <w:tr w:rsidR="0096165B" w:rsidRPr="00096612" w:rsidTr="00561EEF">
        <w:trPr>
          <w:trHeight w:val="30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FF6" w:rsidRPr="00096612" w:rsidRDefault="00D2283A" w:rsidP="00190FF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I</w:t>
            </w:r>
            <w:r w:rsidR="00190FF6"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ncident</w:t>
            </w:r>
            <w:r w:rsidR="00016425"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6" w:rsidRPr="00096612" w:rsidRDefault="003B4B79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6" w:rsidRPr="00096612" w:rsidRDefault="003B4B79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6" w:rsidRPr="00096612" w:rsidRDefault="00190FF6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</w:tr>
      <w:tr w:rsidR="0096165B" w:rsidRPr="00096612" w:rsidTr="00561EEF">
        <w:trPr>
          <w:trHeight w:val="30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83A" w:rsidRPr="00096612" w:rsidRDefault="00D2283A" w:rsidP="00190FF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Hlášení provozních událostí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3A" w:rsidRPr="00096612" w:rsidRDefault="003B4B79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3A" w:rsidRPr="00096612" w:rsidRDefault="003B4B79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3A" w:rsidRPr="00096612" w:rsidRDefault="00D2283A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</w:tr>
      <w:tr w:rsidR="0096165B" w:rsidRPr="00096612" w:rsidTr="00561EEF">
        <w:trPr>
          <w:trHeight w:val="51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FF6" w:rsidRPr="00096612" w:rsidRDefault="00190FF6" w:rsidP="00190FF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Žádosti o další služby poskytované Provozovatelem či Správcem v souvislosti s fungováním NEN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6" w:rsidRPr="00096612" w:rsidRDefault="00A35A9B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6" w:rsidRPr="00096612" w:rsidRDefault="00A35A9B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6" w:rsidRPr="00096612" w:rsidRDefault="00190FF6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</w:tr>
      <w:tr w:rsidR="0096165B" w:rsidRPr="00096612" w:rsidTr="00561EEF">
        <w:trPr>
          <w:trHeight w:val="30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FF6" w:rsidRPr="00096612" w:rsidRDefault="00190FF6" w:rsidP="00190FF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Požadavky na změnu funkcionalit nebo vlastností systému</w:t>
            </w:r>
            <w:r w:rsidR="009E453B"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6" w:rsidRPr="00096612" w:rsidRDefault="00FF792F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959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6" w:rsidRPr="00096612" w:rsidRDefault="00A35A9B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924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6" w:rsidRPr="00096612" w:rsidRDefault="00A35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35</w:t>
            </w:r>
          </w:p>
        </w:tc>
      </w:tr>
      <w:tr w:rsidR="0096165B" w:rsidRPr="00096612" w:rsidTr="00561EEF">
        <w:trPr>
          <w:trHeight w:val="30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90FF6" w:rsidRPr="00096612" w:rsidRDefault="00190FF6" w:rsidP="00190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90FF6" w:rsidRPr="00096612" w:rsidRDefault="00190FF6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3</w:t>
            </w:r>
            <w:r w:rsidR="00A35A9B"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2 274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90FF6" w:rsidRPr="00096612" w:rsidRDefault="00190FF6" w:rsidP="0019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3</w:t>
            </w:r>
            <w:r w:rsidR="00A35A9B"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2 171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90FF6" w:rsidRPr="00096612" w:rsidRDefault="00A35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103</w:t>
            </w:r>
          </w:p>
        </w:tc>
      </w:tr>
    </w:tbl>
    <w:p w:rsidR="00190FF6" w:rsidRPr="00096612" w:rsidRDefault="00190FF6" w:rsidP="00190FF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D12DB" w:rsidRPr="00096612" w:rsidRDefault="004D12DB" w:rsidP="00967A5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D12DB" w:rsidRPr="00096612" w:rsidRDefault="004D12DB" w:rsidP="00967A5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D12DB" w:rsidRPr="00096612" w:rsidRDefault="004D12DB" w:rsidP="00967A5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D12DB" w:rsidRPr="00096612" w:rsidRDefault="004D12DB" w:rsidP="00967A5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D12DB" w:rsidRPr="00096612" w:rsidRDefault="004D12DB" w:rsidP="00967A5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D12DB" w:rsidRPr="00096612" w:rsidRDefault="004D12DB" w:rsidP="00967A5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D12DB" w:rsidRPr="00096612" w:rsidRDefault="004D12DB" w:rsidP="00967A5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00692" w:rsidRPr="00096612" w:rsidRDefault="004249D7" w:rsidP="00967A5A">
      <w:pPr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lastRenderedPageBreak/>
        <w:t>V následujícím přehledu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 xml:space="preserve"> (viz tabulka č. </w:t>
      </w:r>
      <w:r w:rsidR="00BA11DE" w:rsidRPr="00096612">
        <w:rPr>
          <w:rFonts w:ascii="Arial" w:hAnsi="Arial" w:cs="Arial"/>
          <w:color w:val="000000" w:themeColor="text1"/>
          <w:sz w:val="20"/>
          <w:szCs w:val="20"/>
        </w:rPr>
        <w:t>7</w:t>
      </w:r>
      <w:r w:rsidR="00F93EE7" w:rsidRPr="00096612">
        <w:rPr>
          <w:rFonts w:ascii="Arial" w:hAnsi="Arial" w:cs="Arial"/>
          <w:color w:val="000000" w:themeColor="text1"/>
          <w:sz w:val="20"/>
          <w:szCs w:val="20"/>
        </w:rPr>
        <w:t xml:space="preserve"> a graf č. 1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>)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je uveden </w:t>
      </w:r>
      <w:r w:rsidR="0070096E" w:rsidRPr="00096612">
        <w:rPr>
          <w:rFonts w:ascii="Arial" w:hAnsi="Arial" w:cs="Arial"/>
          <w:color w:val="000000" w:themeColor="text1"/>
          <w:sz w:val="20"/>
          <w:szCs w:val="20"/>
        </w:rPr>
        <w:t xml:space="preserve">celkový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souhrn přijatých požadavků za jednotlivé roky</w:t>
      </w:r>
      <w:r w:rsidR="008425B9" w:rsidRPr="00096612">
        <w:rPr>
          <w:rFonts w:ascii="Arial" w:hAnsi="Arial" w:cs="Arial"/>
          <w:color w:val="000000" w:themeColor="text1"/>
          <w:sz w:val="20"/>
          <w:szCs w:val="20"/>
        </w:rPr>
        <w:t xml:space="preserve"> 2016 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>–</w:t>
      </w:r>
      <w:r w:rsidR="008425B9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2AB0" w:rsidRPr="00096612">
        <w:rPr>
          <w:rFonts w:ascii="Arial" w:hAnsi="Arial" w:cs="Arial"/>
          <w:color w:val="000000" w:themeColor="text1"/>
          <w:sz w:val="20"/>
          <w:szCs w:val="20"/>
        </w:rPr>
        <w:t>2019</w:t>
      </w:r>
    </w:p>
    <w:p w:rsidR="004249D7" w:rsidRPr="00096612" w:rsidRDefault="00C24DB2" w:rsidP="00FF707D">
      <w:pPr>
        <w:pStyle w:val="Titulek"/>
        <w:keepNext/>
        <w:spacing w:after="0"/>
        <w:rPr>
          <w:rFonts w:ascii="Arial" w:hAnsi="Arial" w:cs="Arial"/>
          <w:color w:val="000000" w:themeColor="text1"/>
        </w:rPr>
      </w:pPr>
      <w:r w:rsidRPr="00096612">
        <w:rPr>
          <w:rFonts w:ascii="Arial" w:hAnsi="Arial" w:cs="Arial"/>
          <w:color w:val="000000" w:themeColor="text1"/>
        </w:rPr>
        <w:t xml:space="preserve">Tabulka </w:t>
      </w:r>
      <w:r w:rsidR="00590E77" w:rsidRPr="00096612">
        <w:rPr>
          <w:rFonts w:ascii="Arial" w:hAnsi="Arial" w:cs="Arial"/>
          <w:color w:val="000000" w:themeColor="text1"/>
        </w:rPr>
        <w:t xml:space="preserve">č. </w:t>
      </w:r>
      <w:r w:rsidR="00BA11DE" w:rsidRPr="00096612">
        <w:rPr>
          <w:rFonts w:ascii="Arial" w:hAnsi="Arial" w:cs="Arial"/>
          <w:color w:val="000000" w:themeColor="text1"/>
        </w:rPr>
        <w:t>7</w:t>
      </w:r>
      <w:r w:rsidRPr="00096612">
        <w:rPr>
          <w:rFonts w:ascii="Arial" w:hAnsi="Arial" w:cs="Arial"/>
          <w:color w:val="000000" w:themeColor="text1"/>
        </w:rPr>
        <w:t xml:space="preserve"> </w:t>
      </w:r>
      <w:r w:rsidR="00025CC2" w:rsidRPr="00096612">
        <w:rPr>
          <w:rFonts w:ascii="Arial" w:hAnsi="Arial" w:cs="Arial"/>
          <w:color w:val="000000" w:themeColor="text1"/>
        </w:rPr>
        <w:t>–</w:t>
      </w:r>
      <w:r w:rsidRPr="00096612">
        <w:rPr>
          <w:rFonts w:ascii="Arial" w:hAnsi="Arial" w:cs="Arial"/>
          <w:color w:val="000000" w:themeColor="text1"/>
        </w:rPr>
        <w:t xml:space="preserve"> </w:t>
      </w:r>
      <w:r w:rsidR="00025CC2" w:rsidRPr="00096612">
        <w:rPr>
          <w:rFonts w:ascii="Arial" w:hAnsi="Arial" w:cs="Arial"/>
          <w:color w:val="000000" w:themeColor="text1"/>
        </w:rPr>
        <w:t>Počet přijatých požadavků v SD</w:t>
      </w:r>
    </w:p>
    <w:p w:rsidR="00FF707D" w:rsidRPr="00096612" w:rsidRDefault="00FF707D" w:rsidP="00FF707D">
      <w:pPr>
        <w:rPr>
          <w:color w:val="000000" w:themeColor="text1"/>
          <w:sz w:val="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307"/>
        <w:gridCol w:w="1683"/>
        <w:gridCol w:w="1732"/>
        <w:gridCol w:w="1729"/>
        <w:gridCol w:w="1544"/>
      </w:tblGrid>
      <w:tr w:rsidR="0096165B" w:rsidRPr="00096612" w:rsidTr="00806F79">
        <w:trPr>
          <w:trHeight w:val="465"/>
        </w:trPr>
        <w:tc>
          <w:tcPr>
            <w:tcW w:w="2307" w:type="dxa"/>
            <w:shd w:val="clear" w:color="auto" w:fill="DEEAF6" w:themeFill="accent1" w:themeFillTint="33"/>
          </w:tcPr>
          <w:p w:rsidR="00A35A9B" w:rsidRPr="00096612" w:rsidRDefault="00A35A9B" w:rsidP="00831D0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96612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Rok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A35A9B" w:rsidRPr="00096612" w:rsidRDefault="00A35A9B" w:rsidP="00831D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732" w:type="dxa"/>
            <w:shd w:val="clear" w:color="auto" w:fill="DEEAF6" w:themeFill="accent1" w:themeFillTint="33"/>
          </w:tcPr>
          <w:p w:rsidR="00A35A9B" w:rsidRPr="00096612" w:rsidRDefault="00A35A9B" w:rsidP="00831D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729" w:type="dxa"/>
            <w:shd w:val="clear" w:color="auto" w:fill="DEEAF6" w:themeFill="accent1" w:themeFillTint="33"/>
          </w:tcPr>
          <w:p w:rsidR="00A35A9B" w:rsidRPr="00096612" w:rsidRDefault="00A35A9B" w:rsidP="00831D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44" w:type="dxa"/>
            <w:shd w:val="clear" w:color="auto" w:fill="DEEAF6" w:themeFill="accent1" w:themeFillTint="33"/>
          </w:tcPr>
          <w:p w:rsidR="00A35A9B" w:rsidRPr="00096612" w:rsidRDefault="00A35A9B" w:rsidP="00831D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35A9B" w:rsidRPr="00096612" w:rsidTr="00561EEF">
        <w:trPr>
          <w:trHeight w:val="615"/>
        </w:trPr>
        <w:tc>
          <w:tcPr>
            <w:tcW w:w="2307" w:type="dxa"/>
          </w:tcPr>
          <w:p w:rsidR="00A35A9B" w:rsidRPr="00096612" w:rsidRDefault="00A35A9B" w:rsidP="00831D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09661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  <w:lang w:eastAsia="cs-CZ"/>
              </w:rPr>
              <w:t>Počet přijatých požadavků v SD celkem</w:t>
            </w:r>
          </w:p>
        </w:tc>
        <w:tc>
          <w:tcPr>
            <w:tcW w:w="1683" w:type="dxa"/>
          </w:tcPr>
          <w:p w:rsidR="00A35A9B" w:rsidRPr="00096612" w:rsidRDefault="00A35A9B" w:rsidP="00831D0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3 781</w:t>
            </w:r>
          </w:p>
        </w:tc>
        <w:tc>
          <w:tcPr>
            <w:tcW w:w="1732" w:type="dxa"/>
          </w:tcPr>
          <w:p w:rsidR="00A35A9B" w:rsidRPr="00096612" w:rsidRDefault="00A35A9B" w:rsidP="00831D0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17 708</w:t>
            </w:r>
          </w:p>
        </w:tc>
        <w:tc>
          <w:tcPr>
            <w:tcW w:w="1729" w:type="dxa"/>
          </w:tcPr>
          <w:p w:rsidR="00A35A9B" w:rsidRPr="00096612" w:rsidRDefault="00A35A9B" w:rsidP="00831D0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30 104</w:t>
            </w:r>
          </w:p>
        </w:tc>
        <w:tc>
          <w:tcPr>
            <w:tcW w:w="1544" w:type="dxa"/>
          </w:tcPr>
          <w:p w:rsidR="00A35A9B" w:rsidRPr="00096612" w:rsidRDefault="00A35A9B" w:rsidP="00831D0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32 274</w:t>
            </w:r>
          </w:p>
        </w:tc>
      </w:tr>
    </w:tbl>
    <w:p w:rsidR="00A35A9B" w:rsidRPr="00096612" w:rsidRDefault="00A35A9B" w:rsidP="00FF707D">
      <w:pPr>
        <w:pStyle w:val="Titulek"/>
        <w:keepNext/>
        <w:spacing w:after="0"/>
        <w:rPr>
          <w:rFonts w:ascii="Arial" w:hAnsi="Arial" w:cs="Arial"/>
          <w:color w:val="000000" w:themeColor="text1"/>
        </w:rPr>
      </w:pPr>
    </w:p>
    <w:p w:rsidR="00000692" w:rsidRPr="00096612" w:rsidRDefault="00000692" w:rsidP="00FF707D">
      <w:pPr>
        <w:pStyle w:val="Titulek"/>
        <w:keepNext/>
        <w:spacing w:after="0"/>
        <w:rPr>
          <w:rFonts w:ascii="Arial" w:hAnsi="Arial" w:cs="Arial"/>
          <w:color w:val="000000" w:themeColor="text1"/>
        </w:rPr>
      </w:pPr>
    </w:p>
    <w:p w:rsidR="004D12DB" w:rsidRPr="00096612" w:rsidRDefault="004D12DB" w:rsidP="00FF707D">
      <w:pPr>
        <w:pStyle w:val="Titulek"/>
        <w:keepNext/>
        <w:spacing w:after="0"/>
        <w:rPr>
          <w:rFonts w:ascii="Arial" w:hAnsi="Arial" w:cs="Arial"/>
          <w:color w:val="000000" w:themeColor="text1"/>
        </w:rPr>
      </w:pPr>
    </w:p>
    <w:p w:rsidR="004D12DB" w:rsidRPr="00096612" w:rsidRDefault="004D12DB" w:rsidP="00FF707D">
      <w:pPr>
        <w:pStyle w:val="Titulek"/>
        <w:keepNext/>
        <w:spacing w:after="0"/>
        <w:rPr>
          <w:rFonts w:ascii="Arial" w:hAnsi="Arial" w:cs="Arial"/>
          <w:color w:val="000000" w:themeColor="text1"/>
        </w:rPr>
      </w:pPr>
    </w:p>
    <w:p w:rsidR="00250A69" w:rsidRPr="00096612" w:rsidRDefault="00A50D01" w:rsidP="00FF707D">
      <w:pPr>
        <w:pStyle w:val="Titulek"/>
        <w:keepNext/>
        <w:spacing w:after="0"/>
        <w:rPr>
          <w:rFonts w:ascii="Arial" w:hAnsi="Arial" w:cs="Arial"/>
          <w:color w:val="000000" w:themeColor="text1"/>
        </w:rPr>
      </w:pPr>
      <w:r w:rsidRPr="00096612">
        <w:rPr>
          <w:rFonts w:ascii="Arial" w:hAnsi="Arial" w:cs="Arial"/>
          <w:color w:val="000000" w:themeColor="text1"/>
        </w:rPr>
        <w:t xml:space="preserve">Graf </w:t>
      </w:r>
      <w:r w:rsidR="00CB6214" w:rsidRPr="00096612">
        <w:rPr>
          <w:rFonts w:ascii="Arial" w:hAnsi="Arial" w:cs="Arial"/>
          <w:color w:val="000000" w:themeColor="text1"/>
        </w:rPr>
        <w:t xml:space="preserve">č. </w:t>
      </w:r>
      <w:r w:rsidR="0038441D" w:rsidRPr="00096612">
        <w:rPr>
          <w:rFonts w:ascii="Arial" w:hAnsi="Arial" w:cs="Arial"/>
          <w:color w:val="000000" w:themeColor="text1"/>
        </w:rPr>
        <w:t>1</w:t>
      </w:r>
      <w:r w:rsidRPr="00096612">
        <w:rPr>
          <w:rFonts w:ascii="Arial" w:hAnsi="Arial" w:cs="Arial"/>
          <w:color w:val="000000" w:themeColor="text1"/>
        </w:rPr>
        <w:t xml:space="preserve"> - SL9 Poskytování techni</w:t>
      </w:r>
      <w:r w:rsidR="00FF707D" w:rsidRPr="00096612">
        <w:rPr>
          <w:rFonts w:ascii="Arial" w:hAnsi="Arial" w:cs="Arial"/>
          <w:color w:val="000000" w:themeColor="text1"/>
        </w:rPr>
        <w:t>cké podpory a servisu 2016-</w:t>
      </w:r>
      <w:r w:rsidR="003C70E8" w:rsidRPr="00096612">
        <w:rPr>
          <w:rFonts w:ascii="Arial" w:hAnsi="Arial" w:cs="Arial"/>
          <w:color w:val="000000" w:themeColor="text1"/>
        </w:rPr>
        <w:t>2019</w:t>
      </w:r>
    </w:p>
    <w:p w:rsidR="00FF707D" w:rsidRPr="00096612" w:rsidRDefault="00FF707D" w:rsidP="00FF707D">
      <w:pPr>
        <w:rPr>
          <w:color w:val="000000" w:themeColor="text1"/>
          <w:sz w:val="2"/>
        </w:rPr>
      </w:pPr>
    </w:p>
    <w:p w:rsidR="0094364C" w:rsidRPr="00096612" w:rsidRDefault="00152A49" w:rsidP="00C847B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noProof/>
          <w:color w:val="000000" w:themeColor="text1"/>
          <w:lang w:eastAsia="cs-CZ"/>
        </w:rPr>
        <w:drawing>
          <wp:inline distT="0" distB="0" distL="0" distR="0" wp14:anchorId="0A0A3F95" wp14:editId="4635DC38">
            <wp:extent cx="5719445" cy="2955290"/>
            <wp:effectExtent l="0" t="0" r="14605" b="1651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0E77" w:rsidRPr="00096612" w:rsidRDefault="00590E77" w:rsidP="00C847B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00692" w:rsidRPr="00096612" w:rsidRDefault="00000692" w:rsidP="00C847B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00692" w:rsidRPr="00096612" w:rsidRDefault="00000692" w:rsidP="00C847B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00692" w:rsidRPr="00096612" w:rsidRDefault="00000692" w:rsidP="00C847B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00692" w:rsidRPr="00096612" w:rsidRDefault="00000692" w:rsidP="00C847B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00692" w:rsidRPr="00096612" w:rsidRDefault="00000692" w:rsidP="00C847B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00692" w:rsidRPr="00096612" w:rsidRDefault="00000692" w:rsidP="00C847B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00692" w:rsidRPr="00096612" w:rsidRDefault="00000692" w:rsidP="00C847B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00692" w:rsidRPr="00096612" w:rsidRDefault="00000692" w:rsidP="00C847B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00692" w:rsidRPr="00096612" w:rsidRDefault="00000692" w:rsidP="00C847B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00692" w:rsidRPr="00096612" w:rsidRDefault="00000692" w:rsidP="00C847B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00692" w:rsidRPr="00096612" w:rsidRDefault="00000692" w:rsidP="00C847B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C847B9" w:rsidRPr="00096612" w:rsidRDefault="00C847B9" w:rsidP="00C847B9">
      <w:pPr>
        <w:pStyle w:val="Nadpis2"/>
        <w:rPr>
          <w:rFonts w:ascii="Arial" w:hAnsi="Arial" w:cs="Arial"/>
          <w:caps/>
          <w:color w:val="000000" w:themeColor="text1"/>
          <w:sz w:val="24"/>
        </w:rPr>
      </w:pPr>
      <w:bookmarkStart w:id="129" w:name="_Toc505859096"/>
      <w:bookmarkStart w:id="130" w:name="_Toc36798610"/>
      <w:r w:rsidRPr="00096612">
        <w:rPr>
          <w:rFonts w:ascii="Arial" w:hAnsi="Arial" w:cs="Arial"/>
          <w:caps/>
          <w:color w:val="000000" w:themeColor="text1"/>
          <w:sz w:val="24"/>
        </w:rPr>
        <w:lastRenderedPageBreak/>
        <w:t>Uživatelské statistiky NEN</w:t>
      </w:r>
      <w:bookmarkEnd w:id="129"/>
      <w:bookmarkEnd w:id="130"/>
    </w:p>
    <w:p w:rsidR="00C847B9" w:rsidRPr="00096612" w:rsidRDefault="00C847B9" w:rsidP="00C847B9">
      <w:pPr>
        <w:rPr>
          <w:rFonts w:ascii="Arial" w:hAnsi="Arial" w:cs="Arial"/>
          <w:color w:val="000000" w:themeColor="text1"/>
        </w:rPr>
      </w:pPr>
    </w:p>
    <w:p w:rsidR="00C847B9" w:rsidRPr="00096612" w:rsidRDefault="00C847B9" w:rsidP="00C847B9">
      <w:pPr>
        <w:pStyle w:val="Nadpis3"/>
        <w:rPr>
          <w:rFonts w:ascii="Arial" w:hAnsi="Arial" w:cs="Arial"/>
          <w:caps/>
          <w:color w:val="000000" w:themeColor="text1"/>
          <w:sz w:val="20"/>
        </w:rPr>
      </w:pPr>
      <w:bookmarkStart w:id="131" w:name="_Toc505859097"/>
      <w:bookmarkStart w:id="132" w:name="_Toc36798611"/>
      <w:r w:rsidRPr="00096612">
        <w:rPr>
          <w:rFonts w:ascii="Arial" w:hAnsi="Arial" w:cs="Arial"/>
          <w:caps/>
          <w:color w:val="000000" w:themeColor="text1"/>
          <w:sz w:val="20"/>
        </w:rPr>
        <w:t>Zadavatelé</w:t>
      </w:r>
      <w:bookmarkEnd w:id="131"/>
      <w:bookmarkEnd w:id="132"/>
    </w:p>
    <w:p w:rsidR="00C847B9" w:rsidRPr="00096612" w:rsidRDefault="00C847B9" w:rsidP="00702766">
      <w:pPr>
        <w:rPr>
          <w:rFonts w:ascii="Arial" w:hAnsi="Arial" w:cs="Arial"/>
          <w:color w:val="000000" w:themeColor="text1"/>
        </w:rPr>
      </w:pPr>
    </w:p>
    <w:p w:rsidR="00BF3FB9" w:rsidRPr="00096612" w:rsidRDefault="00AB14E8" w:rsidP="0070276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Dle statistických údajů NEN bylo ke dni  31. 12. </w:t>
      </w:r>
      <w:r w:rsidR="003B4B79" w:rsidRPr="00096612">
        <w:rPr>
          <w:rFonts w:ascii="Arial" w:hAnsi="Arial" w:cs="Arial"/>
          <w:color w:val="000000" w:themeColor="text1"/>
          <w:sz w:val="20"/>
          <w:szCs w:val="20"/>
        </w:rPr>
        <w:t xml:space="preserve">2019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v rutinní</w:t>
      </w:r>
      <w:r w:rsidR="00702766" w:rsidRPr="00096612">
        <w:rPr>
          <w:rFonts w:ascii="Arial" w:hAnsi="Arial" w:cs="Arial"/>
          <w:color w:val="000000" w:themeColor="text1"/>
          <w:sz w:val="20"/>
          <w:szCs w:val="20"/>
        </w:rPr>
        <w:t>m provozu  NEN evidováno celkem </w:t>
      </w:r>
    </w:p>
    <w:p w:rsidR="00C847B9" w:rsidRPr="00096612" w:rsidRDefault="003B4B79" w:rsidP="0070276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1</w:t>
      </w:r>
      <w:r w:rsidR="00F93EE7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509 </w:t>
      </w:r>
      <w:r w:rsidR="00AB14E8" w:rsidRPr="00096612">
        <w:rPr>
          <w:rFonts w:ascii="Arial" w:hAnsi="Arial" w:cs="Arial"/>
          <w:color w:val="000000" w:themeColor="text1"/>
          <w:sz w:val="20"/>
          <w:szCs w:val="20"/>
        </w:rPr>
        <w:t>zadavatelů</w:t>
      </w:r>
      <w:r w:rsidRPr="00096612" w:rsidDel="003B4B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 xml:space="preserve">(viz tabulka č. </w:t>
      </w:r>
      <w:r w:rsidR="00BA11DE" w:rsidRPr="00096612">
        <w:rPr>
          <w:rFonts w:ascii="Arial" w:hAnsi="Arial" w:cs="Arial"/>
          <w:color w:val="000000" w:themeColor="text1"/>
          <w:sz w:val="20"/>
          <w:szCs w:val="20"/>
        </w:rPr>
        <w:t>8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>)</w:t>
      </w:r>
      <w:r w:rsidR="00AB14E8" w:rsidRPr="00096612">
        <w:rPr>
          <w:rFonts w:ascii="Arial" w:hAnsi="Arial" w:cs="Arial"/>
          <w:color w:val="000000" w:themeColor="text1"/>
          <w:sz w:val="20"/>
          <w:szCs w:val="20"/>
        </w:rPr>
        <w:t>.</w:t>
      </w:r>
      <w:r w:rsidR="007808F3" w:rsidRPr="00096612">
        <w:rPr>
          <w:rFonts w:ascii="Arial" w:hAnsi="Arial" w:cs="Arial"/>
          <w:color w:val="000000" w:themeColor="text1"/>
          <w:sz w:val="20"/>
          <w:szCs w:val="20"/>
        </w:rPr>
        <w:t xml:space="preserve"> Z celkového poč</w:t>
      </w:r>
      <w:r w:rsidR="006E0C56" w:rsidRPr="00096612">
        <w:rPr>
          <w:rFonts w:ascii="Arial" w:hAnsi="Arial" w:cs="Arial"/>
          <w:color w:val="000000" w:themeColor="text1"/>
          <w:sz w:val="20"/>
          <w:szCs w:val="20"/>
        </w:rPr>
        <w:t xml:space="preserve">tu </w:t>
      </w:r>
      <w:r w:rsidR="005A2254" w:rsidRPr="00096612"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="006E0C56" w:rsidRPr="00096612">
        <w:rPr>
          <w:rFonts w:ascii="Arial" w:hAnsi="Arial" w:cs="Arial"/>
          <w:color w:val="000000" w:themeColor="text1"/>
          <w:sz w:val="20"/>
          <w:szCs w:val="20"/>
        </w:rPr>
        <w:t>9</w:t>
      </w:r>
      <w:r w:rsidR="00A04FE8" w:rsidRPr="00096612">
        <w:rPr>
          <w:rFonts w:ascii="Arial" w:hAnsi="Arial" w:cs="Arial"/>
          <w:color w:val="000000" w:themeColor="text1"/>
          <w:sz w:val="20"/>
          <w:szCs w:val="20"/>
        </w:rPr>
        <w:t>42</w:t>
      </w:r>
      <w:r w:rsidR="006E0C56" w:rsidRPr="00096612">
        <w:rPr>
          <w:rFonts w:ascii="Arial" w:hAnsi="Arial" w:cs="Arial"/>
          <w:color w:val="000000" w:themeColor="text1"/>
          <w:sz w:val="20"/>
          <w:szCs w:val="20"/>
        </w:rPr>
        <w:t xml:space="preserve"> zadavatelů, kteří nespadají do kategorie, kteří mají povinnost po</w:t>
      </w:r>
      <w:r w:rsidR="002C3F48" w:rsidRPr="00096612">
        <w:rPr>
          <w:rFonts w:ascii="Arial" w:hAnsi="Arial" w:cs="Arial"/>
          <w:color w:val="000000" w:themeColor="text1"/>
          <w:sz w:val="20"/>
          <w:szCs w:val="20"/>
        </w:rPr>
        <w:t>u</w:t>
      </w:r>
      <w:r w:rsidR="006E0C56" w:rsidRPr="00096612">
        <w:rPr>
          <w:rFonts w:ascii="Arial" w:hAnsi="Arial" w:cs="Arial"/>
          <w:color w:val="000000" w:themeColor="text1"/>
          <w:sz w:val="20"/>
          <w:szCs w:val="20"/>
        </w:rPr>
        <w:t>žívat NEN.</w:t>
      </w:r>
    </w:p>
    <w:p w:rsidR="00BF3FB9" w:rsidRPr="00096612" w:rsidRDefault="00BF3FB9" w:rsidP="00C847B9">
      <w:pPr>
        <w:pStyle w:val="Titulek"/>
        <w:keepNext/>
        <w:rPr>
          <w:rFonts w:ascii="Arial" w:hAnsi="Arial" w:cs="Arial"/>
          <w:color w:val="000000" w:themeColor="text1"/>
        </w:rPr>
      </w:pPr>
    </w:p>
    <w:p w:rsidR="00C847B9" w:rsidRPr="00096612" w:rsidRDefault="0073208C" w:rsidP="00C847B9">
      <w:pPr>
        <w:pStyle w:val="Titulek"/>
        <w:keepNext/>
        <w:rPr>
          <w:rFonts w:ascii="Arial" w:hAnsi="Arial" w:cs="Arial"/>
          <w:color w:val="000000" w:themeColor="text1"/>
        </w:rPr>
      </w:pPr>
      <w:r w:rsidRPr="00096612">
        <w:rPr>
          <w:rFonts w:ascii="Arial" w:hAnsi="Arial" w:cs="Arial"/>
          <w:color w:val="000000" w:themeColor="text1"/>
        </w:rPr>
        <w:t xml:space="preserve">Tabulka </w:t>
      </w:r>
      <w:r w:rsidR="00590E77" w:rsidRPr="00096612">
        <w:rPr>
          <w:rFonts w:ascii="Arial" w:hAnsi="Arial" w:cs="Arial"/>
          <w:color w:val="000000" w:themeColor="text1"/>
        </w:rPr>
        <w:t xml:space="preserve">č. </w:t>
      </w:r>
      <w:r w:rsidR="00BA11DE" w:rsidRPr="00096612">
        <w:rPr>
          <w:rFonts w:ascii="Arial" w:hAnsi="Arial" w:cs="Arial"/>
          <w:color w:val="000000" w:themeColor="text1"/>
        </w:rPr>
        <w:t>8</w:t>
      </w:r>
      <w:r w:rsidR="00E87A6F" w:rsidRPr="00096612">
        <w:rPr>
          <w:rFonts w:ascii="Arial" w:hAnsi="Arial" w:cs="Arial"/>
          <w:color w:val="000000" w:themeColor="text1"/>
        </w:rPr>
        <w:t xml:space="preserve"> </w:t>
      </w:r>
      <w:r w:rsidR="00C847B9" w:rsidRPr="00096612">
        <w:rPr>
          <w:rFonts w:ascii="Arial" w:hAnsi="Arial" w:cs="Arial"/>
          <w:color w:val="000000" w:themeColor="text1"/>
        </w:rPr>
        <w:t xml:space="preserve">- Počet zadavatelů registrovaných v </w:t>
      </w:r>
      <w:proofErr w:type="gramStart"/>
      <w:r w:rsidR="00C847B9" w:rsidRPr="00096612">
        <w:rPr>
          <w:rFonts w:ascii="Arial" w:hAnsi="Arial" w:cs="Arial"/>
          <w:color w:val="000000" w:themeColor="text1"/>
        </w:rPr>
        <w:t>NEN</w:t>
      </w:r>
      <w:proofErr w:type="gramEnd"/>
    </w:p>
    <w:tbl>
      <w:tblPr>
        <w:tblStyle w:val="Mkatabulky"/>
        <w:tblW w:w="8995" w:type="dxa"/>
        <w:tblLook w:val="04A0" w:firstRow="1" w:lastRow="0" w:firstColumn="1" w:lastColumn="0" w:noHBand="0" w:noVBand="1"/>
      </w:tblPr>
      <w:tblGrid>
        <w:gridCol w:w="4815"/>
        <w:gridCol w:w="4180"/>
      </w:tblGrid>
      <w:tr w:rsidR="0096165B" w:rsidRPr="00096612" w:rsidTr="003F23FE">
        <w:trPr>
          <w:trHeight w:val="315"/>
        </w:trPr>
        <w:tc>
          <w:tcPr>
            <w:tcW w:w="4815" w:type="dxa"/>
            <w:shd w:val="clear" w:color="auto" w:fill="DEEAF6" w:themeFill="accent1" w:themeFillTint="33"/>
            <w:noWrap/>
          </w:tcPr>
          <w:p w:rsidR="00354CE9" w:rsidRPr="00096612" w:rsidRDefault="00354CE9" w:rsidP="00B62A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Počet zadavatelů ke konci roku 2016</w:t>
            </w:r>
          </w:p>
        </w:tc>
        <w:tc>
          <w:tcPr>
            <w:tcW w:w="4180" w:type="dxa"/>
            <w:noWrap/>
          </w:tcPr>
          <w:p w:rsidR="00354CE9" w:rsidRPr="00096612" w:rsidRDefault="0006229E" w:rsidP="0026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</w:t>
            </w:r>
            <w:r w:rsidR="00266DB6"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33</w:t>
            </w:r>
          </w:p>
        </w:tc>
      </w:tr>
      <w:tr w:rsidR="0096165B" w:rsidRPr="00096612" w:rsidTr="003F23FE">
        <w:trPr>
          <w:trHeight w:val="315"/>
        </w:trPr>
        <w:tc>
          <w:tcPr>
            <w:tcW w:w="4815" w:type="dxa"/>
            <w:shd w:val="clear" w:color="auto" w:fill="DEEAF6" w:themeFill="accent1" w:themeFillTint="33"/>
            <w:noWrap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Počet zadavatelů ke konci roku 201</w:t>
            </w:r>
            <w:r w:rsidR="008B1AEA" w:rsidRPr="000966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180" w:type="dxa"/>
            <w:noWrap/>
            <w:hideMark/>
          </w:tcPr>
          <w:p w:rsidR="00C847B9" w:rsidRPr="00096612" w:rsidRDefault="008B1AEA" w:rsidP="00B6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560</w:t>
            </w:r>
          </w:p>
        </w:tc>
      </w:tr>
      <w:tr w:rsidR="0096165B" w:rsidRPr="00096612" w:rsidTr="003F23FE">
        <w:trPr>
          <w:trHeight w:val="315"/>
        </w:trPr>
        <w:tc>
          <w:tcPr>
            <w:tcW w:w="4815" w:type="dxa"/>
            <w:shd w:val="clear" w:color="auto" w:fill="DEEAF6" w:themeFill="accent1" w:themeFillTint="33"/>
            <w:noWrap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Počet zadavatelů ke konci roku 201</w:t>
            </w:r>
            <w:r w:rsidR="008B1AEA" w:rsidRPr="000966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180" w:type="dxa"/>
            <w:noWrap/>
            <w:hideMark/>
          </w:tcPr>
          <w:p w:rsidR="00C847B9" w:rsidRPr="00096612" w:rsidRDefault="008B1AEA" w:rsidP="00424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9</w:t>
            </w:r>
            <w:r w:rsidR="004241F0"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78</w:t>
            </w:r>
          </w:p>
        </w:tc>
      </w:tr>
      <w:tr w:rsidR="0096165B" w:rsidRPr="00096612" w:rsidTr="003F23FE">
        <w:trPr>
          <w:trHeight w:val="315"/>
        </w:trPr>
        <w:tc>
          <w:tcPr>
            <w:tcW w:w="4815" w:type="dxa"/>
            <w:shd w:val="clear" w:color="auto" w:fill="DEEAF6" w:themeFill="accent1" w:themeFillTint="33"/>
            <w:noWrap/>
          </w:tcPr>
          <w:p w:rsidR="003C70E8" w:rsidRPr="00096612" w:rsidRDefault="003C70E8" w:rsidP="00B62A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Počet zadavatelů ke konci roku 2019</w:t>
            </w:r>
          </w:p>
        </w:tc>
        <w:tc>
          <w:tcPr>
            <w:tcW w:w="4180" w:type="dxa"/>
            <w:noWrap/>
          </w:tcPr>
          <w:p w:rsidR="003C70E8" w:rsidRPr="00096612" w:rsidRDefault="003C70E8" w:rsidP="00424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325739"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509</w:t>
            </w:r>
          </w:p>
        </w:tc>
      </w:tr>
    </w:tbl>
    <w:p w:rsidR="00AB0F60" w:rsidRPr="00096612" w:rsidRDefault="00AB0F60" w:rsidP="003D76DF">
      <w:pPr>
        <w:pStyle w:val="Titulek"/>
        <w:keepNext/>
        <w:rPr>
          <w:rFonts w:ascii="Arial" w:hAnsi="Arial" w:cs="Arial"/>
          <w:color w:val="000000" w:themeColor="text1"/>
        </w:rPr>
      </w:pPr>
    </w:p>
    <w:p w:rsidR="00C95381" w:rsidRPr="00096612" w:rsidRDefault="00C95381" w:rsidP="003D76DF">
      <w:pPr>
        <w:pStyle w:val="Titulek"/>
        <w:keepNext/>
        <w:rPr>
          <w:rFonts w:ascii="Arial" w:hAnsi="Arial" w:cs="Arial"/>
          <w:color w:val="000000" w:themeColor="text1"/>
        </w:rPr>
      </w:pPr>
      <w:r w:rsidRPr="00096612">
        <w:rPr>
          <w:rFonts w:ascii="Arial" w:hAnsi="Arial" w:cs="Arial"/>
          <w:color w:val="000000" w:themeColor="text1"/>
        </w:rPr>
        <w:t xml:space="preserve">Graf. č. </w:t>
      </w:r>
      <w:r w:rsidR="0038441D" w:rsidRPr="00096612">
        <w:rPr>
          <w:rFonts w:ascii="Arial" w:hAnsi="Arial" w:cs="Arial"/>
          <w:color w:val="000000" w:themeColor="text1"/>
        </w:rPr>
        <w:t>2</w:t>
      </w:r>
      <w:r w:rsidRPr="00096612">
        <w:rPr>
          <w:rFonts w:ascii="Arial" w:hAnsi="Arial" w:cs="Arial"/>
          <w:color w:val="000000" w:themeColor="text1"/>
        </w:rPr>
        <w:t xml:space="preserve"> - Počet zadavatelů registrovaných v </w:t>
      </w:r>
      <w:proofErr w:type="gramStart"/>
      <w:r w:rsidRPr="00096612">
        <w:rPr>
          <w:rFonts w:ascii="Arial" w:hAnsi="Arial" w:cs="Arial"/>
          <w:color w:val="000000" w:themeColor="text1"/>
        </w:rPr>
        <w:t>NEN</w:t>
      </w:r>
      <w:proofErr w:type="gramEnd"/>
    </w:p>
    <w:p w:rsidR="00845EC1" w:rsidRPr="00096612" w:rsidRDefault="003C70E8" w:rsidP="00C847B9">
      <w:pPr>
        <w:spacing w:after="0"/>
        <w:rPr>
          <w:rFonts w:ascii="Arial" w:hAnsi="Arial" w:cs="Arial"/>
          <w:color w:val="000000" w:themeColor="text1"/>
        </w:rPr>
      </w:pPr>
      <w:r w:rsidRPr="00096612">
        <w:rPr>
          <w:noProof/>
          <w:color w:val="000000" w:themeColor="text1"/>
          <w:lang w:eastAsia="cs-CZ"/>
        </w:rPr>
        <w:drawing>
          <wp:inline distT="0" distB="0" distL="0" distR="0" wp14:anchorId="1B4E26D0" wp14:editId="2033C491">
            <wp:extent cx="5719445" cy="2341245"/>
            <wp:effectExtent l="0" t="0" r="14605" b="190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5EC1" w:rsidRPr="00096612" w:rsidRDefault="00845EC1" w:rsidP="00C847B9">
      <w:pPr>
        <w:spacing w:after="0"/>
        <w:rPr>
          <w:rFonts w:ascii="Arial" w:hAnsi="Arial" w:cs="Arial"/>
          <w:color w:val="000000" w:themeColor="text1"/>
        </w:rPr>
      </w:pPr>
    </w:p>
    <w:p w:rsidR="00845EC1" w:rsidRPr="00096612" w:rsidRDefault="00845EC1" w:rsidP="00C847B9">
      <w:pPr>
        <w:spacing w:after="0"/>
        <w:rPr>
          <w:rFonts w:ascii="Arial" w:hAnsi="Arial" w:cs="Arial"/>
          <w:color w:val="000000" w:themeColor="text1"/>
        </w:rPr>
      </w:pPr>
    </w:p>
    <w:p w:rsidR="003C70E8" w:rsidRPr="00096612" w:rsidRDefault="00C847B9" w:rsidP="00455887">
      <w:pPr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Počet zadavatelů registrovaných v NEN se navýšil o</w:t>
      </w:r>
      <w:r w:rsidR="00077BE2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62FB" w:rsidRPr="00096612">
        <w:rPr>
          <w:rFonts w:ascii="Arial" w:hAnsi="Arial" w:cs="Arial"/>
          <w:color w:val="000000" w:themeColor="text1"/>
          <w:sz w:val="20"/>
          <w:szCs w:val="20"/>
        </w:rPr>
        <w:t>54,29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% oproti </w:t>
      </w:r>
      <w:r w:rsidR="00C95381" w:rsidRPr="00096612">
        <w:rPr>
          <w:rFonts w:ascii="Arial" w:hAnsi="Arial" w:cs="Arial"/>
          <w:color w:val="000000" w:themeColor="text1"/>
          <w:sz w:val="20"/>
          <w:szCs w:val="20"/>
        </w:rPr>
        <w:t>roku 201</w:t>
      </w:r>
      <w:r w:rsidR="00EC62FB" w:rsidRPr="00096612">
        <w:rPr>
          <w:rFonts w:ascii="Arial" w:hAnsi="Arial" w:cs="Arial"/>
          <w:color w:val="000000" w:themeColor="text1"/>
          <w:sz w:val="20"/>
          <w:szCs w:val="20"/>
        </w:rPr>
        <w:t>8</w:t>
      </w:r>
      <w:r w:rsidR="00242B2B" w:rsidRPr="00096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 xml:space="preserve">(viz graf č. </w:t>
      </w:r>
      <w:r w:rsidR="00F93EE7" w:rsidRPr="00096612">
        <w:rPr>
          <w:rFonts w:ascii="Arial" w:hAnsi="Arial" w:cs="Arial"/>
          <w:color w:val="000000" w:themeColor="text1"/>
          <w:sz w:val="20"/>
          <w:szCs w:val="20"/>
        </w:rPr>
        <w:t>2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>)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C70E8" w:rsidRPr="00096612" w:rsidRDefault="003C70E8" w:rsidP="0045588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C70E8" w:rsidRPr="00096612" w:rsidRDefault="003C70E8" w:rsidP="0045588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C70E8" w:rsidRPr="00096612" w:rsidRDefault="003C70E8" w:rsidP="0045588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C70E8" w:rsidRPr="00096612" w:rsidRDefault="003C70E8" w:rsidP="0045588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00692" w:rsidRPr="00096612" w:rsidRDefault="00000692" w:rsidP="0045588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460E9" w:rsidRPr="00096612" w:rsidRDefault="00C460E9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C847B9" w:rsidRPr="00096612" w:rsidRDefault="00C847B9" w:rsidP="00C847B9">
      <w:pPr>
        <w:pStyle w:val="Nadpis3"/>
        <w:rPr>
          <w:rFonts w:ascii="Arial" w:hAnsi="Arial" w:cs="Arial"/>
          <w:caps/>
          <w:color w:val="000000" w:themeColor="text1"/>
          <w:sz w:val="20"/>
        </w:rPr>
      </w:pPr>
      <w:bookmarkStart w:id="133" w:name="_Toc505859098"/>
      <w:bookmarkStart w:id="134" w:name="_Toc36798612"/>
      <w:r w:rsidRPr="00096612">
        <w:rPr>
          <w:rFonts w:ascii="Arial" w:hAnsi="Arial" w:cs="Arial"/>
          <w:caps/>
          <w:color w:val="000000" w:themeColor="text1"/>
          <w:sz w:val="20"/>
        </w:rPr>
        <w:lastRenderedPageBreak/>
        <w:t>Dodavatelé</w:t>
      </w:r>
      <w:bookmarkEnd w:id="133"/>
      <w:bookmarkEnd w:id="134"/>
    </w:p>
    <w:p w:rsidR="00C847B9" w:rsidRPr="00096612" w:rsidRDefault="00C847B9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BF3FB9" w:rsidRPr="00096612" w:rsidRDefault="00C847B9" w:rsidP="00FF707D">
      <w:pPr>
        <w:jc w:val="both"/>
        <w:rPr>
          <w:rFonts w:ascii="Arial" w:hAnsi="Arial" w:cs="Arial"/>
          <w:color w:val="000000" w:themeColor="text1"/>
          <w:sz w:val="20"/>
        </w:rPr>
      </w:pPr>
      <w:r w:rsidRPr="00096612">
        <w:rPr>
          <w:rFonts w:ascii="Arial" w:hAnsi="Arial" w:cs="Arial"/>
          <w:color w:val="000000" w:themeColor="text1"/>
          <w:sz w:val="20"/>
        </w:rPr>
        <w:t>Ke dni 31. 12. 201</w:t>
      </w:r>
      <w:r w:rsidR="003B4B79" w:rsidRPr="00096612">
        <w:rPr>
          <w:rFonts w:ascii="Arial" w:hAnsi="Arial" w:cs="Arial"/>
          <w:color w:val="000000" w:themeColor="text1"/>
          <w:sz w:val="20"/>
        </w:rPr>
        <w:t>9</w:t>
      </w:r>
      <w:r w:rsidRPr="00096612">
        <w:rPr>
          <w:rFonts w:ascii="Arial" w:hAnsi="Arial" w:cs="Arial"/>
          <w:color w:val="000000" w:themeColor="text1"/>
          <w:sz w:val="20"/>
        </w:rPr>
        <w:t xml:space="preserve"> bylo v rutinním provozu NEN evidováno celkem </w:t>
      </w:r>
      <w:r w:rsidR="003B4B79" w:rsidRPr="00096612">
        <w:rPr>
          <w:rFonts w:ascii="Arial" w:hAnsi="Arial" w:cs="Arial"/>
          <w:color w:val="000000" w:themeColor="text1"/>
          <w:sz w:val="20"/>
        </w:rPr>
        <w:t xml:space="preserve">13 </w:t>
      </w:r>
      <w:r w:rsidR="002C3F48" w:rsidRPr="00096612">
        <w:rPr>
          <w:rFonts w:ascii="Arial" w:hAnsi="Arial" w:cs="Arial"/>
          <w:color w:val="000000" w:themeColor="text1"/>
          <w:sz w:val="20"/>
        </w:rPr>
        <w:t>555</w:t>
      </w:r>
      <w:r w:rsidR="00FF707D" w:rsidRPr="00096612">
        <w:rPr>
          <w:rFonts w:ascii="Arial" w:hAnsi="Arial" w:cs="Arial"/>
          <w:color w:val="000000" w:themeColor="text1"/>
          <w:sz w:val="20"/>
        </w:rPr>
        <w:t xml:space="preserve"> dodavatelů</w:t>
      </w:r>
      <w:r w:rsidR="00144BC6" w:rsidRPr="00096612">
        <w:rPr>
          <w:rFonts w:ascii="Arial" w:hAnsi="Arial" w:cs="Arial"/>
          <w:color w:val="000000" w:themeColor="text1"/>
          <w:sz w:val="20"/>
        </w:rPr>
        <w:t xml:space="preserve"> (viz tabulka č</w:t>
      </w:r>
      <w:r w:rsidR="00B75627" w:rsidRPr="00096612">
        <w:rPr>
          <w:rFonts w:ascii="Arial" w:hAnsi="Arial" w:cs="Arial"/>
          <w:color w:val="000000" w:themeColor="text1"/>
          <w:sz w:val="20"/>
        </w:rPr>
        <w:t>. 9).</w:t>
      </w:r>
      <w:r w:rsidR="00FF707D" w:rsidRPr="00096612">
        <w:rPr>
          <w:rFonts w:ascii="Arial" w:hAnsi="Arial" w:cs="Arial"/>
          <w:color w:val="000000" w:themeColor="text1"/>
          <w:sz w:val="20"/>
        </w:rPr>
        <w:t xml:space="preserve"> </w:t>
      </w:r>
    </w:p>
    <w:p w:rsidR="00C847B9" w:rsidRPr="00096612" w:rsidRDefault="0073208C" w:rsidP="00C847B9">
      <w:pPr>
        <w:pStyle w:val="Titulek"/>
        <w:keepNext/>
        <w:rPr>
          <w:rFonts w:ascii="Arial" w:hAnsi="Arial" w:cs="Arial"/>
          <w:color w:val="000000" w:themeColor="text1"/>
        </w:rPr>
      </w:pPr>
      <w:r w:rsidRPr="00096612">
        <w:rPr>
          <w:rFonts w:ascii="Arial" w:hAnsi="Arial" w:cs="Arial"/>
          <w:color w:val="000000" w:themeColor="text1"/>
        </w:rPr>
        <w:t xml:space="preserve">Tabulka </w:t>
      </w:r>
      <w:r w:rsidR="00590E77" w:rsidRPr="00096612">
        <w:rPr>
          <w:rFonts w:ascii="Arial" w:hAnsi="Arial" w:cs="Arial"/>
          <w:color w:val="000000" w:themeColor="text1"/>
        </w:rPr>
        <w:t xml:space="preserve">č. </w:t>
      </w:r>
      <w:r w:rsidR="00BA11DE" w:rsidRPr="00096612">
        <w:rPr>
          <w:rFonts w:ascii="Arial" w:hAnsi="Arial" w:cs="Arial"/>
          <w:color w:val="000000" w:themeColor="text1"/>
        </w:rPr>
        <w:t>9</w:t>
      </w:r>
      <w:r w:rsidR="00C847B9" w:rsidRPr="00096612">
        <w:rPr>
          <w:rFonts w:ascii="Arial" w:hAnsi="Arial" w:cs="Arial"/>
          <w:color w:val="000000" w:themeColor="text1"/>
        </w:rPr>
        <w:t xml:space="preserve"> - Počet dodavatelů registrovaných v</w:t>
      </w:r>
      <w:r w:rsidR="000F2003" w:rsidRPr="00096612">
        <w:rPr>
          <w:rFonts w:ascii="Arial" w:hAnsi="Arial" w:cs="Arial"/>
          <w:color w:val="000000" w:themeColor="text1"/>
        </w:rPr>
        <w:t> </w:t>
      </w:r>
      <w:proofErr w:type="gramStart"/>
      <w:r w:rsidR="00C847B9" w:rsidRPr="00096612">
        <w:rPr>
          <w:rFonts w:ascii="Arial" w:hAnsi="Arial" w:cs="Arial"/>
          <w:color w:val="000000" w:themeColor="text1"/>
        </w:rPr>
        <w:t>NEN</w:t>
      </w:r>
      <w:proofErr w:type="gramEnd"/>
    </w:p>
    <w:tbl>
      <w:tblPr>
        <w:tblW w:w="8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5220"/>
      </w:tblGrid>
      <w:tr w:rsidR="0096165B" w:rsidRPr="00096612" w:rsidTr="00561EEF">
        <w:trPr>
          <w:trHeight w:val="315"/>
        </w:trPr>
        <w:tc>
          <w:tcPr>
            <w:tcW w:w="3720" w:type="dxa"/>
            <w:shd w:val="clear" w:color="auto" w:fill="DEEAF6" w:themeFill="accent1" w:themeFillTint="33"/>
            <w:noWrap/>
            <w:vAlign w:val="center"/>
          </w:tcPr>
          <w:p w:rsidR="000F2003" w:rsidRPr="00096612" w:rsidRDefault="00144BC6" w:rsidP="00B6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cs-CZ"/>
              </w:rPr>
              <w:t>P</w:t>
            </w:r>
            <w:r w:rsidR="000F2003"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cs-CZ"/>
              </w:rPr>
              <w:t>očet dodavatelů ke konci roku 2016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0F2003" w:rsidRPr="00096612" w:rsidRDefault="000F2003" w:rsidP="0026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5</w:t>
            </w:r>
            <w:r w:rsidR="00266DB6"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84</w:t>
            </w:r>
          </w:p>
        </w:tc>
      </w:tr>
      <w:tr w:rsidR="0096165B" w:rsidRPr="00096612" w:rsidTr="00561EEF">
        <w:trPr>
          <w:trHeight w:val="315"/>
        </w:trPr>
        <w:tc>
          <w:tcPr>
            <w:tcW w:w="3720" w:type="dxa"/>
            <w:shd w:val="clear" w:color="auto" w:fill="DEEAF6" w:themeFill="accent1" w:themeFillTint="33"/>
            <w:noWrap/>
            <w:vAlign w:val="center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cs-CZ"/>
              </w:rPr>
              <w:t>Počet dodavatelů ke konci roku 201</w:t>
            </w:r>
            <w:r w:rsidR="002A2DA7"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cs-CZ"/>
              </w:rPr>
              <w:t>7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C847B9" w:rsidRPr="00096612" w:rsidRDefault="002A2DA7" w:rsidP="00B6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3</w:t>
            </w:r>
            <w:r w:rsidR="005B2247"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 </w:t>
            </w: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896</w:t>
            </w:r>
          </w:p>
        </w:tc>
      </w:tr>
      <w:tr w:rsidR="0096165B" w:rsidRPr="00096612" w:rsidTr="00561EEF">
        <w:trPr>
          <w:trHeight w:val="315"/>
        </w:trPr>
        <w:tc>
          <w:tcPr>
            <w:tcW w:w="3720" w:type="dxa"/>
            <w:shd w:val="clear" w:color="auto" w:fill="DEEAF6" w:themeFill="accent1" w:themeFillTint="33"/>
            <w:noWrap/>
            <w:vAlign w:val="center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cs-CZ"/>
              </w:rPr>
              <w:t>Počet dodavatelů ke konci roku 201</w:t>
            </w:r>
            <w:r w:rsidR="002A2DA7"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cs-CZ"/>
              </w:rPr>
              <w:t>8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C847B9" w:rsidRPr="00096612" w:rsidRDefault="00386172" w:rsidP="00B6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8 972</w:t>
            </w:r>
          </w:p>
        </w:tc>
      </w:tr>
      <w:tr w:rsidR="0096165B" w:rsidRPr="00096612" w:rsidTr="00561EEF">
        <w:trPr>
          <w:trHeight w:val="315"/>
        </w:trPr>
        <w:tc>
          <w:tcPr>
            <w:tcW w:w="3720" w:type="dxa"/>
            <w:shd w:val="clear" w:color="auto" w:fill="DEEAF6" w:themeFill="accent1" w:themeFillTint="33"/>
            <w:noWrap/>
            <w:vAlign w:val="center"/>
          </w:tcPr>
          <w:p w:rsidR="003C70E8" w:rsidRPr="00096612" w:rsidRDefault="003C70E8" w:rsidP="00B6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cs-CZ"/>
              </w:rPr>
              <w:t>Počet dodavatelů ke konci roku 2019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3C70E8" w:rsidRPr="00096612" w:rsidRDefault="003C70E8" w:rsidP="00B6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 xml:space="preserve">13 </w:t>
            </w:r>
            <w:r w:rsidR="00965F57" w:rsidRPr="00096612">
              <w:rPr>
                <w:rFonts w:ascii="Arial" w:eastAsia="Times New Roman" w:hAnsi="Arial" w:cs="Arial"/>
                <w:color w:val="000000" w:themeColor="text1"/>
                <w:sz w:val="20"/>
                <w:lang w:eastAsia="cs-CZ"/>
              </w:rPr>
              <w:t>555</w:t>
            </w:r>
          </w:p>
        </w:tc>
      </w:tr>
    </w:tbl>
    <w:p w:rsidR="00FF707D" w:rsidRPr="00096612" w:rsidRDefault="00FF707D" w:rsidP="000F2003">
      <w:pPr>
        <w:pStyle w:val="Titulek"/>
        <w:keepNext/>
        <w:rPr>
          <w:rFonts w:ascii="Arial" w:hAnsi="Arial" w:cs="Arial"/>
          <w:color w:val="000000" w:themeColor="text1"/>
        </w:rPr>
      </w:pPr>
    </w:p>
    <w:p w:rsidR="000F2003" w:rsidRPr="00096612" w:rsidRDefault="000F2003" w:rsidP="000F2003">
      <w:pPr>
        <w:pStyle w:val="Titulek"/>
        <w:keepNext/>
        <w:rPr>
          <w:rFonts w:ascii="Arial" w:hAnsi="Arial" w:cs="Arial"/>
          <w:color w:val="000000" w:themeColor="text1"/>
        </w:rPr>
      </w:pPr>
      <w:r w:rsidRPr="00096612">
        <w:rPr>
          <w:rFonts w:ascii="Arial" w:hAnsi="Arial" w:cs="Arial"/>
          <w:color w:val="000000" w:themeColor="text1"/>
        </w:rPr>
        <w:t xml:space="preserve">Graf. č. </w:t>
      </w:r>
      <w:r w:rsidR="0038441D" w:rsidRPr="00096612">
        <w:rPr>
          <w:rFonts w:ascii="Arial" w:hAnsi="Arial" w:cs="Arial"/>
          <w:color w:val="000000" w:themeColor="text1"/>
        </w:rPr>
        <w:t>3</w:t>
      </w:r>
      <w:r w:rsidRPr="00096612">
        <w:rPr>
          <w:rFonts w:ascii="Arial" w:hAnsi="Arial" w:cs="Arial"/>
          <w:color w:val="000000" w:themeColor="text1"/>
        </w:rPr>
        <w:t xml:space="preserve"> - Počet dodavatelů registrovaných v </w:t>
      </w:r>
      <w:proofErr w:type="gramStart"/>
      <w:r w:rsidRPr="00096612">
        <w:rPr>
          <w:rFonts w:ascii="Arial" w:hAnsi="Arial" w:cs="Arial"/>
          <w:color w:val="000000" w:themeColor="text1"/>
        </w:rPr>
        <w:t>NEN</w:t>
      </w:r>
      <w:proofErr w:type="gramEnd"/>
    </w:p>
    <w:p w:rsidR="000F2003" w:rsidRPr="00096612" w:rsidRDefault="00965F57" w:rsidP="00C847B9">
      <w:pPr>
        <w:spacing w:after="0"/>
        <w:jc w:val="both"/>
        <w:rPr>
          <w:rFonts w:ascii="Arial" w:hAnsi="Arial" w:cs="Arial"/>
          <w:color w:val="000000" w:themeColor="text1"/>
          <w:sz w:val="20"/>
        </w:rPr>
      </w:pPr>
      <w:r w:rsidRPr="00096612">
        <w:rPr>
          <w:noProof/>
          <w:color w:val="000000" w:themeColor="text1"/>
          <w:lang w:eastAsia="cs-CZ"/>
        </w:rPr>
        <w:drawing>
          <wp:inline distT="0" distB="0" distL="0" distR="0" wp14:anchorId="7D08C1B1" wp14:editId="53FBAD65">
            <wp:extent cx="5719445" cy="2363470"/>
            <wp:effectExtent l="0" t="0" r="14605" b="1778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2003" w:rsidRPr="00096612" w:rsidRDefault="000F2003" w:rsidP="00C847B9">
      <w:pPr>
        <w:spacing w:after="0"/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C847B9" w:rsidP="00C847B9">
      <w:pPr>
        <w:jc w:val="both"/>
        <w:rPr>
          <w:rFonts w:ascii="Arial" w:hAnsi="Arial" w:cs="Arial"/>
          <w:color w:val="000000" w:themeColor="text1"/>
          <w:sz w:val="20"/>
        </w:rPr>
      </w:pPr>
      <w:r w:rsidRPr="00096612">
        <w:rPr>
          <w:rFonts w:ascii="Arial" w:hAnsi="Arial" w:cs="Arial"/>
          <w:color w:val="000000" w:themeColor="text1"/>
          <w:sz w:val="20"/>
        </w:rPr>
        <w:t xml:space="preserve">Počet dodavatelů registrovaných v NEN se navýšil o </w:t>
      </w:r>
      <w:r w:rsidR="00B10DC0" w:rsidRPr="00096612">
        <w:rPr>
          <w:rFonts w:ascii="Arial" w:hAnsi="Arial" w:cs="Arial"/>
          <w:color w:val="000000" w:themeColor="text1"/>
          <w:sz w:val="20"/>
        </w:rPr>
        <w:t>51,08 % oproti roku 2018</w:t>
      </w:r>
      <w:r w:rsidR="00144BC6" w:rsidRPr="00096612">
        <w:rPr>
          <w:rFonts w:ascii="Arial" w:hAnsi="Arial" w:cs="Arial"/>
          <w:color w:val="000000" w:themeColor="text1"/>
          <w:sz w:val="20"/>
        </w:rPr>
        <w:t xml:space="preserve"> (viz </w:t>
      </w:r>
      <w:r w:rsidR="00007BCF" w:rsidRPr="00096612">
        <w:rPr>
          <w:rFonts w:ascii="Arial" w:hAnsi="Arial" w:cs="Arial"/>
          <w:color w:val="000000" w:themeColor="text1"/>
          <w:sz w:val="20"/>
        </w:rPr>
        <w:t xml:space="preserve">graf </w:t>
      </w:r>
      <w:r w:rsidR="00F93EE7" w:rsidRPr="00096612">
        <w:rPr>
          <w:rFonts w:ascii="Arial" w:hAnsi="Arial" w:cs="Arial"/>
          <w:color w:val="000000" w:themeColor="text1"/>
          <w:sz w:val="20"/>
        </w:rPr>
        <w:t>č. 3</w:t>
      </w:r>
      <w:r w:rsidR="00144BC6" w:rsidRPr="00096612">
        <w:rPr>
          <w:rFonts w:ascii="Arial" w:hAnsi="Arial" w:cs="Arial"/>
          <w:color w:val="000000" w:themeColor="text1"/>
          <w:sz w:val="20"/>
        </w:rPr>
        <w:t>)</w:t>
      </w:r>
      <w:r w:rsidRPr="00096612">
        <w:rPr>
          <w:rFonts w:ascii="Arial" w:hAnsi="Arial" w:cs="Arial"/>
          <w:color w:val="000000" w:themeColor="text1"/>
          <w:sz w:val="20"/>
        </w:rPr>
        <w:t xml:space="preserve">. </w:t>
      </w: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2B6B2C" w:rsidRPr="00096612" w:rsidRDefault="002B6B2C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C847B9" w:rsidRPr="00096612" w:rsidRDefault="00C847B9" w:rsidP="00C847B9">
      <w:pPr>
        <w:pStyle w:val="Nadpis3"/>
        <w:rPr>
          <w:rFonts w:ascii="Arial" w:hAnsi="Arial" w:cs="Arial"/>
          <w:caps/>
          <w:color w:val="000000" w:themeColor="text1"/>
          <w:sz w:val="20"/>
        </w:rPr>
      </w:pPr>
      <w:bookmarkStart w:id="135" w:name="_Toc505859099"/>
      <w:bookmarkStart w:id="136" w:name="_Toc36798613"/>
      <w:r w:rsidRPr="00096612">
        <w:rPr>
          <w:rFonts w:ascii="Arial" w:hAnsi="Arial" w:cs="Arial"/>
          <w:caps/>
          <w:color w:val="000000" w:themeColor="text1"/>
          <w:sz w:val="20"/>
        </w:rPr>
        <w:lastRenderedPageBreak/>
        <w:t>Počet uživatelů</w:t>
      </w:r>
      <w:bookmarkEnd w:id="135"/>
      <w:bookmarkEnd w:id="136"/>
    </w:p>
    <w:p w:rsidR="00C847B9" w:rsidRPr="00096612" w:rsidRDefault="00C847B9" w:rsidP="00C847B9">
      <w:pPr>
        <w:spacing w:after="0"/>
        <w:rPr>
          <w:rFonts w:ascii="Arial" w:hAnsi="Arial" w:cs="Arial"/>
          <w:color w:val="000000" w:themeColor="text1"/>
        </w:rPr>
      </w:pPr>
    </w:p>
    <w:p w:rsidR="00BF3FB9" w:rsidRPr="00096612" w:rsidRDefault="0083328F" w:rsidP="00FF70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Na konci roku </w:t>
      </w:r>
      <w:r w:rsidR="003B4B79" w:rsidRPr="00096612">
        <w:rPr>
          <w:rFonts w:ascii="Arial" w:hAnsi="Arial" w:cs="Arial"/>
          <w:color w:val="000000" w:themeColor="text1"/>
          <w:sz w:val="20"/>
          <w:szCs w:val="20"/>
        </w:rPr>
        <w:t xml:space="preserve">2019 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 xml:space="preserve">bylo v NEN evidováno celkem </w:t>
      </w:r>
      <w:r w:rsidR="003B4B79" w:rsidRPr="00096612">
        <w:rPr>
          <w:rFonts w:ascii="Arial" w:hAnsi="Arial" w:cs="Arial"/>
          <w:color w:val="000000" w:themeColor="text1"/>
          <w:sz w:val="20"/>
          <w:szCs w:val="20"/>
        </w:rPr>
        <w:t xml:space="preserve">29 304 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uživatelů s přiřazenou rolí v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> 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NEN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br/>
        <w:t xml:space="preserve">(viz tabulka č. </w:t>
      </w:r>
      <w:r w:rsidR="00BA11DE" w:rsidRPr="00096612">
        <w:rPr>
          <w:rFonts w:ascii="Arial" w:hAnsi="Arial" w:cs="Arial"/>
          <w:color w:val="000000" w:themeColor="text1"/>
          <w:sz w:val="20"/>
          <w:szCs w:val="20"/>
        </w:rPr>
        <w:t>10</w:t>
      </w:r>
      <w:r w:rsidR="00144BC6" w:rsidRPr="00096612">
        <w:rPr>
          <w:rFonts w:ascii="Arial" w:hAnsi="Arial" w:cs="Arial"/>
          <w:color w:val="000000" w:themeColor="text1"/>
          <w:sz w:val="20"/>
          <w:szCs w:val="20"/>
        </w:rPr>
        <w:t>)</w:t>
      </w:r>
      <w:r w:rsidR="00C847B9" w:rsidRPr="00096612">
        <w:rPr>
          <w:rFonts w:ascii="Arial" w:hAnsi="Arial" w:cs="Arial"/>
          <w:color w:val="000000" w:themeColor="text1"/>
          <w:sz w:val="20"/>
          <w:szCs w:val="20"/>
        </w:rPr>
        <w:t>.</w:t>
      </w:r>
      <w:r w:rsidR="00C847B9" w:rsidRPr="00096612">
        <w:rPr>
          <w:rStyle w:val="Znakapoznpodarou"/>
          <w:rFonts w:ascii="Arial" w:hAnsi="Arial" w:cs="Arial"/>
          <w:color w:val="000000" w:themeColor="text1"/>
          <w:sz w:val="20"/>
          <w:szCs w:val="20"/>
        </w:rPr>
        <w:footnoteReference w:id="1"/>
      </w:r>
    </w:p>
    <w:p w:rsidR="008F3A83" w:rsidRPr="00096612" w:rsidRDefault="0073208C">
      <w:pPr>
        <w:pStyle w:val="Titulek"/>
        <w:keepNext/>
        <w:rPr>
          <w:color w:val="000000" w:themeColor="text1"/>
        </w:rPr>
      </w:pPr>
      <w:r w:rsidRPr="00096612">
        <w:rPr>
          <w:rFonts w:ascii="Arial" w:hAnsi="Arial" w:cs="Arial"/>
          <w:color w:val="000000" w:themeColor="text1"/>
        </w:rPr>
        <w:t>Tabulka</w:t>
      </w:r>
      <w:r w:rsidR="00590E77" w:rsidRPr="00096612">
        <w:rPr>
          <w:rFonts w:ascii="Arial" w:hAnsi="Arial" w:cs="Arial"/>
          <w:color w:val="000000" w:themeColor="text1"/>
        </w:rPr>
        <w:t xml:space="preserve"> č.</w:t>
      </w:r>
      <w:r w:rsidRPr="00096612">
        <w:rPr>
          <w:rFonts w:ascii="Arial" w:hAnsi="Arial" w:cs="Arial"/>
          <w:color w:val="000000" w:themeColor="text1"/>
        </w:rPr>
        <w:t xml:space="preserve"> </w:t>
      </w:r>
      <w:r w:rsidR="00BA11DE" w:rsidRPr="00096612">
        <w:rPr>
          <w:rFonts w:ascii="Arial" w:hAnsi="Arial" w:cs="Arial"/>
          <w:color w:val="000000" w:themeColor="text1"/>
        </w:rPr>
        <w:t>10</w:t>
      </w:r>
      <w:r w:rsidR="00C847B9" w:rsidRPr="00096612">
        <w:rPr>
          <w:rFonts w:ascii="Arial" w:hAnsi="Arial" w:cs="Arial"/>
          <w:color w:val="000000" w:themeColor="text1"/>
        </w:rPr>
        <w:t xml:space="preserve"> </w:t>
      </w:r>
      <w:r w:rsidR="00FC679C" w:rsidRPr="00096612">
        <w:rPr>
          <w:rFonts w:ascii="Arial" w:hAnsi="Arial" w:cs="Arial"/>
          <w:color w:val="000000" w:themeColor="text1"/>
        </w:rPr>
        <w:t>–</w:t>
      </w:r>
      <w:r w:rsidR="00C847B9" w:rsidRPr="00096612">
        <w:rPr>
          <w:rFonts w:ascii="Arial" w:hAnsi="Arial" w:cs="Arial"/>
          <w:color w:val="000000" w:themeColor="text1"/>
        </w:rPr>
        <w:t xml:space="preserve"> </w:t>
      </w:r>
      <w:r w:rsidR="00FC679C" w:rsidRPr="00096612">
        <w:rPr>
          <w:rFonts w:ascii="Arial" w:hAnsi="Arial" w:cs="Arial"/>
          <w:color w:val="000000" w:themeColor="text1"/>
        </w:rPr>
        <w:t>Celkový vývoj uživatelů do konce roku 201</w:t>
      </w:r>
      <w:r w:rsidR="003C70E8" w:rsidRPr="00096612">
        <w:rPr>
          <w:rFonts w:ascii="Arial" w:hAnsi="Arial" w:cs="Arial"/>
          <w:color w:val="000000" w:themeColor="text1"/>
        </w:rPr>
        <w:t>9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5220"/>
      </w:tblGrid>
      <w:tr w:rsidR="0096165B" w:rsidRPr="00096612" w:rsidTr="00561EEF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F3A83" w:rsidRPr="00096612" w:rsidRDefault="00144BC6" w:rsidP="0042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P</w:t>
            </w:r>
            <w:r w:rsidR="008F3A83"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očet uživatelů ke konci roku 201</w:t>
            </w:r>
            <w:r w:rsidR="004249D7"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A83" w:rsidRPr="00096612" w:rsidRDefault="008F3A83" w:rsidP="0026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2 </w:t>
            </w:r>
            <w:r w:rsidR="00266DB6"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217</w:t>
            </w:r>
          </w:p>
        </w:tc>
      </w:tr>
      <w:tr w:rsidR="0096165B" w:rsidRPr="00096612" w:rsidTr="00561EEF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Počet uživatelů ke konci roku 201</w:t>
            </w:r>
            <w:r w:rsidR="002A2DA7"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9" w:rsidRPr="00096612" w:rsidRDefault="002A2DA7" w:rsidP="00B6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10 052</w:t>
            </w:r>
          </w:p>
        </w:tc>
      </w:tr>
      <w:tr w:rsidR="0096165B" w:rsidRPr="00096612" w:rsidTr="00561EEF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847B9" w:rsidRPr="00096612" w:rsidRDefault="00C847B9" w:rsidP="00B6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Počet uživatelů ke konci roku 201</w:t>
            </w:r>
            <w:r w:rsidR="002A2DA7"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9" w:rsidRPr="00096612" w:rsidRDefault="005D50CE" w:rsidP="00880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20 916</w:t>
            </w:r>
          </w:p>
        </w:tc>
      </w:tr>
      <w:tr w:rsidR="0096165B" w:rsidRPr="00096612" w:rsidTr="00561EEF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C70E8" w:rsidRPr="00096612" w:rsidRDefault="003C70E8" w:rsidP="00B6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Počet uživatelů ke konci roku 2019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E8" w:rsidRPr="00096612" w:rsidRDefault="003C70E8" w:rsidP="00880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29 304</w:t>
            </w:r>
          </w:p>
        </w:tc>
      </w:tr>
    </w:tbl>
    <w:p w:rsidR="008F3A83" w:rsidRPr="00096612" w:rsidRDefault="008F3A83" w:rsidP="008F3A83">
      <w:pPr>
        <w:pStyle w:val="Titulek"/>
        <w:keepNext/>
        <w:rPr>
          <w:rFonts w:ascii="Arial" w:hAnsi="Arial" w:cs="Arial"/>
          <w:color w:val="000000" w:themeColor="text1"/>
        </w:rPr>
      </w:pPr>
    </w:p>
    <w:p w:rsidR="008F3A83" w:rsidRPr="00096612" w:rsidRDefault="005864BF" w:rsidP="003D76DF">
      <w:pPr>
        <w:pStyle w:val="Titulek"/>
        <w:keepNext/>
        <w:rPr>
          <w:rFonts w:ascii="Arial" w:hAnsi="Arial" w:cs="Arial"/>
          <w:color w:val="000000" w:themeColor="text1"/>
        </w:rPr>
      </w:pPr>
      <w:r w:rsidRPr="00096612">
        <w:rPr>
          <w:rFonts w:ascii="Arial" w:hAnsi="Arial" w:cs="Arial"/>
          <w:color w:val="000000" w:themeColor="text1"/>
        </w:rPr>
        <w:t>Graf</w:t>
      </w:r>
      <w:r w:rsidR="008F3A83" w:rsidRPr="00096612">
        <w:rPr>
          <w:rFonts w:ascii="Arial" w:hAnsi="Arial" w:cs="Arial"/>
          <w:color w:val="000000" w:themeColor="text1"/>
        </w:rPr>
        <w:t xml:space="preserve"> č</w:t>
      </w:r>
      <w:r w:rsidR="00250A69" w:rsidRPr="00096612">
        <w:rPr>
          <w:rFonts w:ascii="Arial" w:hAnsi="Arial" w:cs="Arial"/>
          <w:color w:val="000000" w:themeColor="text1"/>
        </w:rPr>
        <w:t>.</w:t>
      </w:r>
      <w:r w:rsidR="008F3A83" w:rsidRPr="00096612">
        <w:rPr>
          <w:rFonts w:ascii="Arial" w:hAnsi="Arial" w:cs="Arial"/>
          <w:color w:val="000000" w:themeColor="text1"/>
        </w:rPr>
        <w:t xml:space="preserve"> </w:t>
      </w:r>
      <w:r w:rsidR="0038441D" w:rsidRPr="00096612">
        <w:rPr>
          <w:rFonts w:ascii="Arial" w:hAnsi="Arial" w:cs="Arial"/>
          <w:color w:val="000000" w:themeColor="text1"/>
        </w:rPr>
        <w:t>4</w:t>
      </w:r>
      <w:r w:rsidR="008F3A83" w:rsidRPr="00096612">
        <w:rPr>
          <w:rFonts w:ascii="Arial" w:hAnsi="Arial" w:cs="Arial"/>
          <w:color w:val="000000" w:themeColor="text1"/>
        </w:rPr>
        <w:t xml:space="preserve"> - Počet </w:t>
      </w:r>
      <w:r w:rsidR="002C13CB" w:rsidRPr="00096612">
        <w:rPr>
          <w:rFonts w:ascii="Arial" w:hAnsi="Arial" w:cs="Arial"/>
          <w:color w:val="000000" w:themeColor="text1"/>
        </w:rPr>
        <w:t xml:space="preserve">uživatelů NEN </w:t>
      </w:r>
    </w:p>
    <w:p w:rsidR="008F3A83" w:rsidRPr="00096612" w:rsidRDefault="003C70E8" w:rsidP="00C847B9">
      <w:pPr>
        <w:rPr>
          <w:rFonts w:ascii="Arial" w:hAnsi="Arial" w:cs="Arial"/>
          <w:color w:val="000000" w:themeColor="text1"/>
        </w:rPr>
      </w:pPr>
      <w:r w:rsidRPr="00096612">
        <w:rPr>
          <w:noProof/>
          <w:color w:val="000000" w:themeColor="text1"/>
          <w:lang w:eastAsia="cs-CZ"/>
        </w:rPr>
        <w:drawing>
          <wp:inline distT="0" distB="0" distL="0" distR="0" wp14:anchorId="7937CC89" wp14:editId="6CAEA398">
            <wp:extent cx="5719445" cy="2352675"/>
            <wp:effectExtent l="0" t="0" r="14605" b="9525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00692" w:rsidRPr="00096612" w:rsidRDefault="00C847B9" w:rsidP="00C847B9">
      <w:pPr>
        <w:jc w:val="both"/>
        <w:rPr>
          <w:rFonts w:ascii="Arial" w:hAnsi="Arial" w:cs="Arial"/>
          <w:color w:val="000000" w:themeColor="text1"/>
          <w:sz w:val="20"/>
        </w:rPr>
      </w:pPr>
      <w:r w:rsidRPr="00096612">
        <w:rPr>
          <w:rFonts w:ascii="Arial" w:hAnsi="Arial" w:cs="Arial"/>
          <w:color w:val="000000" w:themeColor="text1"/>
          <w:sz w:val="20"/>
        </w:rPr>
        <w:t xml:space="preserve">Počet uživatelů NEN se navýšil o </w:t>
      </w:r>
      <w:r w:rsidR="0047654D" w:rsidRPr="00096612">
        <w:rPr>
          <w:rFonts w:ascii="Arial" w:hAnsi="Arial" w:cs="Arial"/>
          <w:color w:val="000000" w:themeColor="text1"/>
          <w:sz w:val="20"/>
        </w:rPr>
        <w:t>40,1% oproti roku 201</w:t>
      </w:r>
      <w:r w:rsidR="005A2254" w:rsidRPr="00096612">
        <w:rPr>
          <w:rFonts w:ascii="Arial" w:hAnsi="Arial" w:cs="Arial"/>
          <w:color w:val="000000" w:themeColor="text1"/>
          <w:sz w:val="20"/>
        </w:rPr>
        <w:t>8</w:t>
      </w:r>
      <w:r w:rsidR="00F93EE7" w:rsidRPr="00096612">
        <w:rPr>
          <w:rFonts w:ascii="Arial" w:hAnsi="Arial" w:cs="Arial"/>
          <w:color w:val="000000" w:themeColor="text1"/>
          <w:sz w:val="20"/>
        </w:rPr>
        <w:t xml:space="preserve"> (viz graf č. 4</w:t>
      </w:r>
      <w:r w:rsidR="00B105FF" w:rsidRPr="00096612">
        <w:rPr>
          <w:rFonts w:ascii="Arial" w:hAnsi="Arial" w:cs="Arial"/>
          <w:color w:val="000000" w:themeColor="text1"/>
          <w:sz w:val="20"/>
        </w:rPr>
        <w:t>)</w:t>
      </w:r>
      <w:r w:rsidR="00FF707D" w:rsidRPr="00096612">
        <w:rPr>
          <w:rFonts w:ascii="Arial" w:hAnsi="Arial" w:cs="Arial"/>
          <w:color w:val="000000" w:themeColor="text1"/>
          <w:sz w:val="20"/>
        </w:rPr>
        <w:t>.</w:t>
      </w: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000692" w:rsidRPr="00096612" w:rsidRDefault="00000692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242B2B" w:rsidRPr="00096612" w:rsidRDefault="00242B2B" w:rsidP="00C84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C847B9" w:rsidRPr="00096612" w:rsidRDefault="00C847B9" w:rsidP="00C847B9">
      <w:pPr>
        <w:pStyle w:val="Nadpis2"/>
        <w:rPr>
          <w:rFonts w:ascii="Arial" w:hAnsi="Arial" w:cs="Arial"/>
          <w:caps/>
          <w:color w:val="000000" w:themeColor="text1"/>
          <w:sz w:val="24"/>
        </w:rPr>
      </w:pPr>
      <w:bookmarkStart w:id="137" w:name="_Toc505859100"/>
      <w:bookmarkStart w:id="138" w:name="_Toc36798614"/>
      <w:r w:rsidRPr="00096612">
        <w:rPr>
          <w:rFonts w:ascii="Arial" w:hAnsi="Arial" w:cs="Arial"/>
          <w:caps/>
          <w:color w:val="000000" w:themeColor="text1"/>
          <w:sz w:val="24"/>
        </w:rPr>
        <w:lastRenderedPageBreak/>
        <w:t xml:space="preserve">Statistiky zadávacích postupů realizovaných v </w:t>
      </w:r>
      <w:proofErr w:type="gramStart"/>
      <w:r w:rsidRPr="00096612">
        <w:rPr>
          <w:rFonts w:ascii="Arial" w:hAnsi="Arial" w:cs="Arial"/>
          <w:caps/>
          <w:color w:val="000000" w:themeColor="text1"/>
          <w:sz w:val="24"/>
        </w:rPr>
        <w:t>NEN</w:t>
      </w:r>
      <w:bookmarkEnd w:id="137"/>
      <w:bookmarkEnd w:id="138"/>
      <w:proofErr w:type="gramEnd"/>
    </w:p>
    <w:p w:rsidR="00C847B9" w:rsidRPr="00096612" w:rsidRDefault="00C847B9" w:rsidP="00C847B9">
      <w:pPr>
        <w:rPr>
          <w:rFonts w:ascii="Arial" w:hAnsi="Arial" w:cs="Arial"/>
          <w:color w:val="000000" w:themeColor="text1"/>
        </w:rPr>
      </w:pPr>
    </w:p>
    <w:p w:rsidR="00C847B9" w:rsidRPr="00096612" w:rsidRDefault="00C847B9" w:rsidP="00C847B9">
      <w:pPr>
        <w:pStyle w:val="Nadpis3"/>
        <w:rPr>
          <w:rFonts w:ascii="Arial" w:hAnsi="Arial" w:cs="Arial"/>
          <w:caps/>
          <w:color w:val="000000" w:themeColor="text1"/>
          <w:sz w:val="20"/>
        </w:rPr>
      </w:pPr>
      <w:bookmarkStart w:id="139" w:name="_Toc505859104"/>
      <w:bookmarkStart w:id="140" w:name="_Toc36798615"/>
      <w:r w:rsidRPr="00096612">
        <w:rPr>
          <w:rFonts w:ascii="Arial" w:hAnsi="Arial" w:cs="Arial"/>
          <w:caps/>
          <w:color w:val="000000" w:themeColor="text1"/>
          <w:sz w:val="20"/>
        </w:rPr>
        <w:t>Dle finančního limitu</w:t>
      </w:r>
      <w:bookmarkEnd w:id="139"/>
      <w:bookmarkEnd w:id="140"/>
    </w:p>
    <w:p w:rsidR="00C847B9" w:rsidRPr="00096612" w:rsidRDefault="00C847B9" w:rsidP="00C847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82539" w:rsidRPr="00096612" w:rsidRDefault="0068592C" w:rsidP="00EC40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F</w:t>
      </w:r>
      <w:r w:rsidR="00C847B9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inanční objem veřejných zakázek v NEN, </w:t>
      </w:r>
      <w:r w:rsidRPr="00096612">
        <w:rPr>
          <w:rFonts w:ascii="Arial" w:hAnsi="Arial" w:cs="Arial"/>
          <w:bCs/>
          <w:color w:val="000000" w:themeColor="text1"/>
          <w:sz w:val="20"/>
          <w:szCs w:val="20"/>
        </w:rPr>
        <w:t>zadaných v roce 201</w:t>
      </w:r>
      <w:r w:rsidR="001A5AA9" w:rsidRPr="00096612">
        <w:rPr>
          <w:rFonts w:ascii="Arial" w:hAnsi="Arial" w:cs="Arial"/>
          <w:bCs/>
          <w:color w:val="000000" w:themeColor="text1"/>
          <w:sz w:val="20"/>
          <w:szCs w:val="20"/>
        </w:rPr>
        <w:t>9</w:t>
      </w:r>
      <w:r w:rsidR="00B10DC0" w:rsidRPr="00096612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 čin</w:t>
      </w:r>
      <w:r w:rsidR="00B4293D" w:rsidRPr="00096612">
        <w:rPr>
          <w:rFonts w:ascii="Arial" w:hAnsi="Arial" w:cs="Arial"/>
          <w:bCs/>
          <w:color w:val="000000" w:themeColor="text1"/>
          <w:sz w:val="20"/>
          <w:szCs w:val="20"/>
        </w:rPr>
        <w:t>il</w:t>
      </w:r>
      <w:r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 celkem </w:t>
      </w:r>
      <w:r w:rsidR="00762EB3" w:rsidRPr="00096612">
        <w:rPr>
          <w:rFonts w:ascii="Arial" w:hAnsi="Arial" w:cs="Arial"/>
          <w:bCs/>
          <w:color w:val="000000" w:themeColor="text1"/>
          <w:sz w:val="20"/>
          <w:szCs w:val="20"/>
        </w:rPr>
        <w:t>89 584 896</w:t>
      </w:r>
      <w:r w:rsidR="006832C2" w:rsidRPr="00096612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="00762EB3" w:rsidRPr="00096612">
        <w:rPr>
          <w:rFonts w:ascii="Arial" w:hAnsi="Arial" w:cs="Arial"/>
          <w:bCs/>
          <w:color w:val="000000" w:themeColor="text1"/>
          <w:sz w:val="20"/>
          <w:szCs w:val="20"/>
        </w:rPr>
        <w:t>951</w:t>
      </w:r>
      <w:r w:rsidR="006832C2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4293D" w:rsidRPr="00096612">
        <w:rPr>
          <w:rFonts w:ascii="Arial" w:hAnsi="Arial" w:cs="Arial"/>
          <w:bCs/>
          <w:color w:val="000000" w:themeColor="text1"/>
          <w:sz w:val="20"/>
          <w:szCs w:val="20"/>
        </w:rPr>
        <w:t xml:space="preserve">Kč </w:t>
      </w:r>
      <w:r w:rsidR="00882539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bez DPH</w:t>
      </w:r>
      <w:r w:rsidR="009567AD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(nejsou započítány zrušené veřejné zakázky)</w:t>
      </w:r>
      <w:r w:rsidR="00B4293D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  <w:r w:rsidR="00B10DC0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Objem veřejných zakázek v </w:t>
      </w:r>
      <w:proofErr w:type="gramStart"/>
      <w:r w:rsidR="00B10DC0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NEN</w:t>
      </w:r>
      <w:proofErr w:type="gramEnd"/>
      <w:r w:rsidR="00B10DC0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93734A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se navýšil </w:t>
      </w:r>
      <w:r w:rsidR="00A122F3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     </w:t>
      </w:r>
      <w:r w:rsidR="0093734A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 29,</w:t>
      </w:r>
      <w:r w:rsidR="00B10DC0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16 % </w:t>
      </w:r>
      <w:r w:rsidR="0093734A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opro</w:t>
      </w:r>
      <w:r w:rsidR="00B10DC0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ti roku 2018.</w:t>
      </w:r>
    </w:p>
    <w:p w:rsidR="00882539" w:rsidRPr="00096612" w:rsidRDefault="00882539" w:rsidP="00EC402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C4029" w:rsidRPr="00096612" w:rsidRDefault="0068592C" w:rsidP="00EC40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Finanční </w:t>
      </w:r>
      <w:r w:rsidR="00B4293D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objem</w:t>
      </w:r>
      <w:r w:rsidR="00882539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veřejných zakázek </w:t>
      </w:r>
      <w:r w:rsidR="00064A09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administrovaných v NEN </w:t>
      </w:r>
      <w:r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od r. 2015-201</w:t>
      </w:r>
      <w:r w:rsidR="001A5AA9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9</w:t>
      </w:r>
      <w:r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čin</w:t>
      </w:r>
      <w:r w:rsidR="00B4293D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il</w:t>
      </w:r>
      <w:r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1A5AA9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257 933 251 392</w:t>
      </w:r>
      <w:r w:rsidR="00FF707D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Kč bez </w:t>
      </w:r>
      <w:r w:rsidR="00EC4029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DPH.</w:t>
      </w:r>
      <w:r w:rsidR="00882539" w:rsidRPr="0009661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</w:p>
    <w:p w:rsidR="0068592C" w:rsidRPr="00096612" w:rsidRDefault="0068592C" w:rsidP="0068592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</w:p>
    <w:p w:rsidR="009567AD" w:rsidRPr="00096612" w:rsidRDefault="009567AD" w:rsidP="0068592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</w:p>
    <w:p w:rsidR="001753BC" w:rsidRPr="00096612" w:rsidRDefault="001753BC" w:rsidP="003D76DF">
      <w:pPr>
        <w:pStyle w:val="Nadpis3"/>
        <w:rPr>
          <w:rFonts w:ascii="Arial" w:hAnsi="Arial" w:cs="Arial"/>
          <w:caps/>
          <w:color w:val="000000" w:themeColor="text1"/>
          <w:sz w:val="20"/>
        </w:rPr>
      </w:pPr>
      <w:bookmarkStart w:id="141" w:name="_Toc36798616"/>
      <w:bookmarkStart w:id="142" w:name="_Toc505859105"/>
      <w:r w:rsidRPr="00096612">
        <w:rPr>
          <w:rFonts w:ascii="Arial" w:hAnsi="Arial" w:cs="Arial"/>
          <w:caps/>
          <w:color w:val="000000" w:themeColor="text1"/>
          <w:sz w:val="20"/>
        </w:rPr>
        <w:t>Dle zadaného režimu</w:t>
      </w:r>
      <w:bookmarkEnd w:id="141"/>
    </w:p>
    <w:p w:rsidR="009E556F" w:rsidRPr="00096612" w:rsidRDefault="009E556F" w:rsidP="003D76DF">
      <w:pPr>
        <w:rPr>
          <w:color w:val="000000" w:themeColor="text1"/>
        </w:rPr>
      </w:pPr>
    </w:p>
    <w:p w:rsidR="00AB0F60" w:rsidRPr="00096612" w:rsidRDefault="009E556F" w:rsidP="00AB0F60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V této kapitole jsme provedli srovnání zadaných veřejných zakázek s průvodcem se zakázkami zadanými ve zjednodušeném průchodu. </w:t>
      </w:r>
    </w:p>
    <w:p w:rsidR="009E556F" w:rsidRPr="00096612" w:rsidRDefault="005864BF" w:rsidP="009E556F">
      <w:pPr>
        <w:pStyle w:val="Titulek"/>
        <w:rPr>
          <w:rFonts w:ascii="Arial" w:hAnsi="Arial" w:cs="Arial"/>
          <w:color w:val="000000" w:themeColor="text1"/>
        </w:rPr>
      </w:pPr>
      <w:r w:rsidRPr="00096612">
        <w:rPr>
          <w:rFonts w:ascii="Arial" w:hAnsi="Arial" w:cs="Arial"/>
          <w:color w:val="000000" w:themeColor="text1"/>
        </w:rPr>
        <w:t xml:space="preserve">Graf </w:t>
      </w:r>
      <w:r w:rsidR="00590E77" w:rsidRPr="00096612">
        <w:rPr>
          <w:rFonts w:ascii="Arial" w:hAnsi="Arial" w:cs="Arial"/>
          <w:color w:val="000000" w:themeColor="text1"/>
        </w:rPr>
        <w:t xml:space="preserve">č. </w:t>
      </w:r>
      <w:r w:rsidR="0038441D" w:rsidRPr="00096612">
        <w:rPr>
          <w:rFonts w:ascii="Arial" w:hAnsi="Arial" w:cs="Arial"/>
          <w:color w:val="000000" w:themeColor="text1"/>
        </w:rPr>
        <w:t>5</w:t>
      </w:r>
      <w:r w:rsidR="00025CC2" w:rsidRPr="00096612">
        <w:rPr>
          <w:rFonts w:ascii="Arial" w:hAnsi="Arial" w:cs="Arial"/>
          <w:color w:val="000000" w:themeColor="text1"/>
        </w:rPr>
        <w:t xml:space="preserve"> </w:t>
      </w:r>
      <w:r w:rsidR="009E556F" w:rsidRPr="00096612">
        <w:rPr>
          <w:rFonts w:ascii="Arial" w:hAnsi="Arial" w:cs="Arial"/>
          <w:color w:val="000000" w:themeColor="text1"/>
        </w:rPr>
        <w:t>– Srovnání zadaných VZ s průvodcem a ve zjednodušeném průchodu</w:t>
      </w:r>
      <w:r w:rsidR="00984328" w:rsidRPr="00096612">
        <w:rPr>
          <w:rFonts w:ascii="Arial" w:hAnsi="Arial" w:cs="Arial"/>
          <w:color w:val="000000" w:themeColor="text1"/>
        </w:rPr>
        <w:t xml:space="preserve"> za rok 201</w:t>
      </w:r>
      <w:r w:rsidR="003B6488" w:rsidRPr="00096612">
        <w:rPr>
          <w:rFonts w:ascii="Arial" w:hAnsi="Arial" w:cs="Arial"/>
          <w:color w:val="000000" w:themeColor="text1"/>
        </w:rPr>
        <w:t>9</w:t>
      </w:r>
    </w:p>
    <w:p w:rsidR="00702766" w:rsidRPr="00096612" w:rsidRDefault="003B6488" w:rsidP="00000692">
      <w:pPr>
        <w:rPr>
          <w:color w:val="000000" w:themeColor="text1"/>
        </w:rPr>
      </w:pPr>
      <w:r w:rsidRPr="00096612">
        <w:rPr>
          <w:noProof/>
          <w:color w:val="000000" w:themeColor="text1"/>
          <w:lang w:eastAsia="cs-CZ"/>
        </w:rPr>
        <w:drawing>
          <wp:inline distT="0" distB="0" distL="0" distR="0" wp14:anchorId="02C6F9EE" wp14:editId="266ECEBE">
            <wp:extent cx="5719445" cy="3175000"/>
            <wp:effectExtent l="0" t="0" r="14605" b="63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D043B" w:rsidRPr="00096612" w:rsidRDefault="00FA23F7" w:rsidP="00123DC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G</w:t>
      </w:r>
      <w:r w:rsidR="003F13C2" w:rsidRPr="00096612">
        <w:rPr>
          <w:rFonts w:ascii="Arial" w:hAnsi="Arial" w:cs="Arial"/>
          <w:color w:val="000000" w:themeColor="text1"/>
          <w:sz w:val="20"/>
          <w:szCs w:val="20"/>
        </w:rPr>
        <w:t xml:space="preserve">raf č. </w:t>
      </w:r>
      <w:r w:rsidR="00E615AF" w:rsidRPr="00096612">
        <w:rPr>
          <w:rFonts w:ascii="Arial" w:hAnsi="Arial" w:cs="Arial"/>
          <w:color w:val="000000" w:themeColor="text1"/>
          <w:sz w:val="20"/>
          <w:szCs w:val="20"/>
        </w:rPr>
        <w:t>5</w:t>
      </w:r>
      <w:r w:rsidR="00882539" w:rsidRPr="00096612">
        <w:rPr>
          <w:rFonts w:ascii="Arial" w:hAnsi="Arial" w:cs="Arial"/>
          <w:color w:val="000000" w:themeColor="text1"/>
          <w:sz w:val="20"/>
          <w:szCs w:val="20"/>
        </w:rPr>
        <w:t xml:space="preserve"> zobrazuje srovnání využití postupů v rámci verze portálu zadavatele v</w:t>
      </w:r>
      <w:r w:rsidR="003D043B" w:rsidRPr="00096612">
        <w:rPr>
          <w:rFonts w:ascii="Arial" w:hAnsi="Arial" w:cs="Arial"/>
          <w:color w:val="000000" w:themeColor="text1"/>
          <w:sz w:val="20"/>
          <w:szCs w:val="20"/>
        </w:rPr>
        <w:t> </w:t>
      </w:r>
      <w:r w:rsidR="00882539" w:rsidRPr="00096612">
        <w:rPr>
          <w:rFonts w:ascii="Arial" w:hAnsi="Arial" w:cs="Arial"/>
          <w:color w:val="000000" w:themeColor="text1"/>
          <w:sz w:val="20"/>
          <w:szCs w:val="20"/>
        </w:rPr>
        <w:t>SL</w:t>
      </w:r>
      <w:r w:rsidR="003D043B" w:rsidRPr="00096612">
        <w:rPr>
          <w:rFonts w:ascii="Arial" w:hAnsi="Arial" w:cs="Arial"/>
          <w:color w:val="000000" w:themeColor="text1"/>
          <w:sz w:val="20"/>
          <w:szCs w:val="20"/>
        </w:rPr>
        <w:t xml:space="preserve"> v roce 2019</w:t>
      </w:r>
      <w:r w:rsidR="00882539" w:rsidRPr="0009661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23DC9" w:rsidRPr="00096612" w:rsidRDefault="001F6B40" w:rsidP="00123DC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FA23F7" w:rsidRPr="00096612" w:rsidRDefault="00FA23F7" w:rsidP="00FA23F7">
      <w:pPr>
        <w:rPr>
          <w:color w:val="000000" w:themeColor="text1"/>
        </w:rPr>
      </w:pPr>
    </w:p>
    <w:p w:rsidR="003B6488" w:rsidRPr="00096612" w:rsidRDefault="003B6488" w:rsidP="009E556F">
      <w:pPr>
        <w:pStyle w:val="Titulek"/>
        <w:rPr>
          <w:rFonts w:ascii="Arial" w:hAnsi="Arial" w:cs="Arial"/>
          <w:color w:val="000000" w:themeColor="text1"/>
        </w:rPr>
      </w:pPr>
    </w:p>
    <w:p w:rsidR="006832C2" w:rsidRPr="00096612" w:rsidRDefault="006832C2" w:rsidP="006832C2">
      <w:pPr>
        <w:rPr>
          <w:color w:val="000000" w:themeColor="text1"/>
        </w:rPr>
      </w:pPr>
    </w:p>
    <w:p w:rsidR="006832C2" w:rsidRPr="00096612" w:rsidRDefault="006832C2" w:rsidP="006832C2">
      <w:pPr>
        <w:rPr>
          <w:color w:val="000000" w:themeColor="text1"/>
        </w:rPr>
      </w:pPr>
    </w:p>
    <w:p w:rsidR="009567AD" w:rsidRPr="00096612" w:rsidRDefault="009567AD" w:rsidP="006832C2">
      <w:pPr>
        <w:rPr>
          <w:color w:val="000000" w:themeColor="text1"/>
        </w:rPr>
      </w:pPr>
    </w:p>
    <w:p w:rsidR="009E556F" w:rsidRPr="00096612" w:rsidRDefault="005864BF" w:rsidP="009E556F">
      <w:pPr>
        <w:pStyle w:val="Titulek"/>
        <w:rPr>
          <w:color w:val="000000" w:themeColor="text1"/>
        </w:rPr>
      </w:pPr>
      <w:r w:rsidRPr="00096612">
        <w:rPr>
          <w:rFonts w:ascii="Arial" w:hAnsi="Arial" w:cs="Arial"/>
          <w:color w:val="000000" w:themeColor="text1"/>
        </w:rPr>
        <w:lastRenderedPageBreak/>
        <w:t>Graf</w:t>
      </w:r>
      <w:r w:rsidR="009E556F" w:rsidRPr="00096612">
        <w:rPr>
          <w:rFonts w:ascii="Arial" w:hAnsi="Arial" w:cs="Arial"/>
          <w:color w:val="000000" w:themeColor="text1"/>
        </w:rPr>
        <w:t xml:space="preserve"> </w:t>
      </w:r>
      <w:r w:rsidR="00590E77" w:rsidRPr="00096612">
        <w:rPr>
          <w:rFonts w:ascii="Arial" w:hAnsi="Arial" w:cs="Arial"/>
          <w:color w:val="000000" w:themeColor="text1"/>
        </w:rPr>
        <w:t xml:space="preserve">č. </w:t>
      </w:r>
      <w:r w:rsidR="0038441D" w:rsidRPr="00096612">
        <w:rPr>
          <w:rFonts w:ascii="Arial" w:hAnsi="Arial" w:cs="Arial"/>
          <w:color w:val="000000" w:themeColor="text1"/>
        </w:rPr>
        <w:t>6</w:t>
      </w:r>
      <w:r w:rsidR="009E556F" w:rsidRPr="00096612">
        <w:rPr>
          <w:rFonts w:ascii="Arial" w:hAnsi="Arial" w:cs="Arial"/>
          <w:color w:val="000000" w:themeColor="text1"/>
        </w:rPr>
        <w:t xml:space="preserve"> – Srovnání zadaných VZ s průvodcem a ve zjednodušeném průchodu</w:t>
      </w:r>
      <w:r w:rsidR="00FD6041" w:rsidRPr="00096612">
        <w:rPr>
          <w:rFonts w:ascii="Arial" w:hAnsi="Arial" w:cs="Arial"/>
          <w:color w:val="000000" w:themeColor="text1"/>
        </w:rPr>
        <w:t xml:space="preserve"> </w:t>
      </w:r>
    </w:p>
    <w:p w:rsidR="003F13C2" w:rsidRPr="00096612" w:rsidRDefault="003B6488" w:rsidP="00A8573A">
      <w:pPr>
        <w:rPr>
          <w:color w:val="000000" w:themeColor="text1"/>
        </w:rPr>
      </w:pPr>
      <w:r w:rsidRPr="00096612">
        <w:rPr>
          <w:noProof/>
          <w:color w:val="000000" w:themeColor="text1"/>
          <w:lang w:eastAsia="cs-CZ"/>
        </w:rPr>
        <w:drawing>
          <wp:inline distT="0" distB="0" distL="0" distR="0" wp14:anchorId="03FE1A1C" wp14:editId="463C4870">
            <wp:extent cx="5705475" cy="2838450"/>
            <wp:effectExtent l="0" t="0" r="952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832C2" w:rsidRPr="00096612" w:rsidRDefault="006832C2" w:rsidP="006832C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Graf č. 6 zobrazuje srovnání využití postupů v rámci verze portálu zadavatele v SL v roce 2018 a 2019.</w:t>
      </w:r>
    </w:p>
    <w:p w:rsidR="006832C2" w:rsidRPr="00096612" w:rsidRDefault="006832C2" w:rsidP="006832C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Z grafů je patrné, že bylo využití průchodu s </w:t>
      </w:r>
      <w:r w:rsidR="005C3F1F" w:rsidRPr="00096612">
        <w:rPr>
          <w:rFonts w:ascii="Arial" w:hAnsi="Arial" w:cs="Arial"/>
          <w:color w:val="000000" w:themeColor="text1"/>
          <w:sz w:val="20"/>
          <w:szCs w:val="20"/>
        </w:rPr>
        <w:t>průvodcem častější</w:t>
      </w:r>
      <w:r w:rsidR="008E3B1D" w:rsidRPr="00096612">
        <w:rPr>
          <w:rFonts w:ascii="Arial" w:hAnsi="Arial" w:cs="Arial"/>
          <w:color w:val="000000" w:themeColor="text1"/>
          <w:sz w:val="20"/>
          <w:szCs w:val="20"/>
        </w:rPr>
        <w:t xml:space="preserve"> než bez průvodce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>. Průchod s průvodcem, je vhodný zejména pro uživatele – začátečníky v </w:t>
      </w:r>
      <w:proofErr w:type="gramStart"/>
      <w:r w:rsidRPr="00096612">
        <w:rPr>
          <w:rFonts w:ascii="Arial" w:hAnsi="Arial" w:cs="Arial"/>
          <w:color w:val="000000" w:themeColor="text1"/>
          <w:sz w:val="20"/>
          <w:szCs w:val="20"/>
        </w:rPr>
        <w:t>NEN</w:t>
      </w:r>
      <w:proofErr w:type="gramEnd"/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. Zkušení zadavatelé průchod s průvodcem využívají hlavně kvůli funkcionalitám systému (např. generování dokumentů atd.), které zjednodušený průchod neobsahuje. </w:t>
      </w:r>
    </w:p>
    <w:p w:rsidR="006832C2" w:rsidRPr="00096612" w:rsidRDefault="006832C2" w:rsidP="00A8573A">
      <w:pPr>
        <w:rPr>
          <w:color w:val="000000" w:themeColor="text1"/>
        </w:rPr>
      </w:pPr>
    </w:p>
    <w:p w:rsidR="00F45AFB" w:rsidRPr="00096612" w:rsidRDefault="00E615AF" w:rsidP="00F45AFB">
      <w:pPr>
        <w:pStyle w:val="Titulek"/>
        <w:rPr>
          <w:rFonts w:ascii="Arial" w:hAnsi="Arial" w:cs="Arial"/>
          <w:color w:val="000000" w:themeColor="text1"/>
        </w:rPr>
      </w:pPr>
      <w:r w:rsidRPr="00096612">
        <w:rPr>
          <w:rFonts w:ascii="Arial" w:hAnsi="Arial" w:cs="Arial"/>
          <w:color w:val="000000" w:themeColor="text1"/>
        </w:rPr>
        <w:t xml:space="preserve">Graf č. </w:t>
      </w:r>
      <w:r w:rsidR="0038441D" w:rsidRPr="00096612">
        <w:rPr>
          <w:rFonts w:ascii="Arial" w:hAnsi="Arial" w:cs="Arial"/>
          <w:color w:val="000000" w:themeColor="text1"/>
        </w:rPr>
        <w:t>7</w:t>
      </w:r>
      <w:r w:rsidRPr="00096612">
        <w:rPr>
          <w:rFonts w:ascii="Arial" w:hAnsi="Arial" w:cs="Arial"/>
          <w:color w:val="000000" w:themeColor="text1"/>
        </w:rPr>
        <w:t xml:space="preserve"> </w:t>
      </w:r>
      <w:r w:rsidR="00F45AFB" w:rsidRPr="00096612">
        <w:rPr>
          <w:rFonts w:ascii="Arial" w:hAnsi="Arial" w:cs="Arial"/>
          <w:color w:val="000000" w:themeColor="text1"/>
        </w:rPr>
        <w:t xml:space="preserve">– Počet zadaných VZMR </w:t>
      </w:r>
      <w:r w:rsidR="00AE5BE1" w:rsidRPr="00096612">
        <w:rPr>
          <w:rFonts w:ascii="Arial" w:hAnsi="Arial" w:cs="Arial"/>
          <w:color w:val="000000" w:themeColor="text1"/>
        </w:rPr>
        <w:t xml:space="preserve">za rok </w:t>
      </w:r>
      <w:r w:rsidR="00F11F68" w:rsidRPr="00096612">
        <w:rPr>
          <w:rFonts w:ascii="Arial" w:hAnsi="Arial" w:cs="Arial"/>
          <w:color w:val="000000" w:themeColor="text1"/>
        </w:rPr>
        <w:t>2019</w:t>
      </w:r>
    </w:p>
    <w:p w:rsidR="00B50F3B" w:rsidRPr="00096612" w:rsidRDefault="007A3CF4" w:rsidP="00A8573A">
      <w:pPr>
        <w:rPr>
          <w:color w:val="000000" w:themeColor="text1"/>
        </w:rPr>
      </w:pPr>
      <w:r w:rsidRPr="00096612">
        <w:rPr>
          <w:noProof/>
          <w:color w:val="000000" w:themeColor="text1"/>
          <w:lang w:eastAsia="cs-CZ"/>
        </w:rPr>
        <w:drawing>
          <wp:inline distT="0" distB="0" distL="0" distR="0" wp14:anchorId="11B3C73C" wp14:editId="38EEF468">
            <wp:extent cx="5705475" cy="3247390"/>
            <wp:effectExtent l="0" t="0" r="9525" b="1016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832C2" w:rsidRPr="00096612" w:rsidRDefault="006832C2" w:rsidP="006832C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t>Graf č. 7</w:t>
      </w:r>
      <w:r w:rsidR="008E3B1D" w:rsidRPr="00096612">
        <w:rPr>
          <w:rFonts w:ascii="Arial" w:hAnsi="Arial" w:cs="Arial"/>
          <w:color w:val="000000" w:themeColor="text1"/>
          <w:sz w:val="20"/>
          <w:szCs w:val="20"/>
        </w:rPr>
        <w:t xml:space="preserve"> zobrazuje počet zadaných </w:t>
      </w:r>
      <w:r w:rsidR="00E17B07" w:rsidRPr="00096612">
        <w:rPr>
          <w:rFonts w:ascii="Arial" w:hAnsi="Arial" w:cs="Arial"/>
          <w:color w:val="000000" w:themeColor="text1"/>
          <w:sz w:val="20"/>
          <w:szCs w:val="20"/>
        </w:rPr>
        <w:t>veřejných zakázek malého rozsahu (dále jen „</w:t>
      </w:r>
      <w:r w:rsidR="008E3B1D" w:rsidRPr="00096612">
        <w:rPr>
          <w:rFonts w:ascii="Arial" w:hAnsi="Arial" w:cs="Arial"/>
          <w:color w:val="000000" w:themeColor="text1"/>
          <w:sz w:val="20"/>
          <w:szCs w:val="20"/>
        </w:rPr>
        <w:t>VZMR</w:t>
      </w:r>
      <w:r w:rsidR="00E17B07" w:rsidRPr="00096612">
        <w:rPr>
          <w:rFonts w:ascii="Arial" w:hAnsi="Arial" w:cs="Arial"/>
          <w:color w:val="000000" w:themeColor="text1"/>
          <w:sz w:val="20"/>
          <w:szCs w:val="20"/>
        </w:rPr>
        <w:t>“)</w:t>
      </w:r>
      <w:r w:rsidR="008E3B1D" w:rsidRPr="00096612">
        <w:rPr>
          <w:rFonts w:ascii="Arial" w:hAnsi="Arial" w:cs="Arial"/>
          <w:color w:val="000000" w:themeColor="text1"/>
          <w:sz w:val="20"/>
          <w:szCs w:val="20"/>
        </w:rPr>
        <w:t xml:space="preserve"> za roky 2018 a 2019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po jednotlivých měsících.</w:t>
      </w:r>
    </w:p>
    <w:p w:rsidR="009567AD" w:rsidRPr="00096612" w:rsidRDefault="006832C2" w:rsidP="009567A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Celkem bylo v roce </w:t>
      </w:r>
      <w:r w:rsidR="009567AD" w:rsidRPr="00096612">
        <w:rPr>
          <w:rFonts w:ascii="Arial" w:hAnsi="Arial" w:cs="Arial"/>
          <w:color w:val="000000" w:themeColor="text1"/>
          <w:sz w:val="20"/>
          <w:szCs w:val="20"/>
        </w:rPr>
        <w:t>2019 zadáno</w:t>
      </w:r>
      <w:r w:rsidRPr="00096612">
        <w:rPr>
          <w:rFonts w:ascii="Arial" w:hAnsi="Arial" w:cs="Arial"/>
          <w:color w:val="000000" w:themeColor="text1"/>
          <w:sz w:val="20"/>
          <w:szCs w:val="20"/>
        </w:rPr>
        <w:t xml:space="preserve"> 13 379 VZMR což je pokles o 25,37%</w:t>
      </w:r>
      <w:r w:rsidR="009567AD" w:rsidRPr="00096612">
        <w:rPr>
          <w:rFonts w:ascii="Arial" w:hAnsi="Arial" w:cs="Arial"/>
          <w:color w:val="000000" w:themeColor="text1"/>
          <w:sz w:val="20"/>
          <w:szCs w:val="20"/>
        </w:rPr>
        <w:t xml:space="preserve"> oproti roku 2018.</w:t>
      </w:r>
    </w:p>
    <w:p w:rsidR="00B50F3B" w:rsidRPr="00096612" w:rsidRDefault="00E615AF" w:rsidP="009567AD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96612">
        <w:rPr>
          <w:rFonts w:ascii="Arial" w:hAnsi="Arial" w:cs="Arial"/>
          <w:b/>
          <w:bCs/>
          <w:color w:val="000000" w:themeColor="text1"/>
          <w:sz w:val="18"/>
          <w:szCs w:val="18"/>
        </w:rPr>
        <w:t>Tabulka</w:t>
      </w:r>
      <w:r w:rsidR="00F45AFB" w:rsidRPr="0009661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č. </w:t>
      </w:r>
      <w:r w:rsidR="00912CCA" w:rsidRPr="00096612">
        <w:rPr>
          <w:rFonts w:ascii="Arial" w:hAnsi="Arial" w:cs="Arial"/>
          <w:b/>
          <w:bCs/>
          <w:color w:val="000000" w:themeColor="text1"/>
          <w:sz w:val="18"/>
          <w:szCs w:val="18"/>
        </w:rPr>
        <w:t>1</w:t>
      </w:r>
      <w:r w:rsidR="007A3CF4" w:rsidRPr="00096612">
        <w:rPr>
          <w:rFonts w:ascii="Arial" w:hAnsi="Arial" w:cs="Arial"/>
          <w:b/>
          <w:bCs/>
          <w:color w:val="000000" w:themeColor="text1"/>
          <w:sz w:val="18"/>
          <w:szCs w:val="18"/>
        </w:rPr>
        <w:t>1</w:t>
      </w:r>
      <w:r w:rsidR="00F45AFB" w:rsidRPr="0009661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– </w:t>
      </w:r>
      <w:r w:rsidR="00CA00F2" w:rsidRPr="00096612">
        <w:rPr>
          <w:rFonts w:ascii="Arial" w:hAnsi="Arial" w:cs="Arial"/>
          <w:b/>
          <w:bCs/>
          <w:color w:val="000000" w:themeColor="text1"/>
          <w:sz w:val="18"/>
          <w:szCs w:val="18"/>
        </w:rPr>
        <w:t>Tabulka</w:t>
      </w:r>
      <w:r w:rsidR="00F45AFB" w:rsidRPr="0009661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7A3CF4" w:rsidRPr="0009661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obsahuje výčet dle </w:t>
      </w:r>
      <w:r w:rsidR="00A8573A" w:rsidRPr="0009661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nejvyužívanějších a realizovaných druhů </w:t>
      </w:r>
      <w:r w:rsidR="007A3CF4" w:rsidRPr="00096612">
        <w:rPr>
          <w:rFonts w:ascii="Arial" w:hAnsi="Arial" w:cs="Arial"/>
          <w:b/>
          <w:bCs/>
          <w:color w:val="000000" w:themeColor="text1"/>
          <w:sz w:val="18"/>
          <w:szCs w:val="18"/>
        </w:rPr>
        <w:t>zadávacích řízení</w:t>
      </w:r>
      <w:r w:rsidR="00A8573A" w:rsidRPr="0009661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v roce 2019 v řazení od největšího do nejmenšího.</w:t>
      </w:r>
    </w:p>
    <w:tbl>
      <w:tblPr>
        <w:tblW w:w="8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6"/>
        <w:gridCol w:w="1729"/>
        <w:gridCol w:w="1260"/>
      </w:tblGrid>
      <w:tr w:rsidR="0096165B" w:rsidRPr="00096612" w:rsidTr="00561EEF">
        <w:trPr>
          <w:trHeight w:val="478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8573A" w:rsidRPr="00096612" w:rsidRDefault="00A8573A" w:rsidP="00A8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Druh zadávacího řízení</w:t>
            </w:r>
          </w:p>
          <w:p w:rsidR="00F96752" w:rsidRPr="00096612" w:rsidRDefault="00F96752" w:rsidP="00A8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8573A" w:rsidRPr="00096612" w:rsidRDefault="00A8573A" w:rsidP="00A8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Finanční objem v Kč bez DPH (smluvní cena)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573A" w:rsidRPr="00096612" w:rsidRDefault="00A8573A" w:rsidP="00A8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Počet ks zadaných VZ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Otevřené řízení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26 963 946 638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1 738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Zadávání VZ na základě rámcové dohody s obnovením soutěže na základě zadávacího řízení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2 043 133 350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1 113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Zjednodušené podlimitní řízení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5 554 274 978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941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Zadávání VZ na základě rámcové dohody bez obnovení soutěže na základě zadávacího řízení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2 099 198 671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932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Jednací řízení bez uveřejnění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8 184 211 634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362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Zadávání VZ na základě RS s jedním uchazečem (mimo režim ZVZ)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64 545 645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272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Zadávání VZ v DNS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260 336 450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264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Zadávání VZ na základě RS s více uchazeči v režimu ZVZ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100 325 559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134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Průzkum trhu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84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Zadávání VZ na základě rámcové dohody s obnovením soutěže (mimo zadávací řízení)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7 767 960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57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Zavedení DNS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41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Jednací řízení s uveřejněním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2 297 635 816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36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Řízení pro zadání veřejné zakázky ve zjednodušeném režimu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96 987 900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13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Zadávání VZ na základě RS s více uchazeči (mimo režim ZVZ)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1 819 768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11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Předběžné tržní konzultace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Otevřená soutěž o návrh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Jednací řízení s uveřejněním (bez uveřejnění) - dle § 61 odst. 3 ZZVZ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1 321 657 457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</w:t>
            </w:r>
          </w:p>
        </w:tc>
      </w:tr>
      <w:tr w:rsidR="0096165B" w:rsidRPr="00096612" w:rsidTr="00561EEF">
        <w:trPr>
          <w:trHeight w:val="2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Řízení se soutěžním dialogem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3A" w:rsidRPr="00096612" w:rsidRDefault="00A8573A" w:rsidP="00A85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0966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</w:tr>
    </w:tbl>
    <w:p w:rsidR="00702766" w:rsidRPr="00096612" w:rsidRDefault="00702766" w:rsidP="003D76DF">
      <w:pPr>
        <w:rPr>
          <w:color w:val="000000" w:themeColor="text1"/>
        </w:rPr>
      </w:pPr>
    </w:p>
    <w:p w:rsidR="00AF2B96" w:rsidRPr="00096612" w:rsidRDefault="00AF2B96" w:rsidP="00AF2B96">
      <w:pPr>
        <w:pStyle w:val="Bezmezer"/>
        <w:rPr>
          <w:rFonts w:eastAsia="Times New Roman" w:cs="Times New Roman"/>
          <w:bCs/>
          <w:color w:val="000000" w:themeColor="text1"/>
        </w:rPr>
      </w:pPr>
    </w:p>
    <w:p w:rsidR="00544171" w:rsidRPr="00096612" w:rsidRDefault="00544171" w:rsidP="00AF2B96">
      <w:pPr>
        <w:pStyle w:val="Bezmezer"/>
        <w:rPr>
          <w:rFonts w:ascii="Arial" w:eastAsiaTheme="minorHAnsi" w:hAnsi="Arial" w:cs="Arial"/>
          <w:b/>
          <w:bCs/>
          <w:color w:val="000000" w:themeColor="text1"/>
          <w:sz w:val="18"/>
          <w:szCs w:val="18"/>
          <w:lang w:eastAsia="en-US"/>
        </w:rPr>
      </w:pPr>
    </w:p>
    <w:p w:rsidR="001A25FD" w:rsidRPr="00096612" w:rsidRDefault="001A25FD">
      <w:pPr>
        <w:spacing w:after="160" w:line="259" w:lineRule="auto"/>
        <w:rPr>
          <w:rFonts w:ascii="Arial" w:eastAsiaTheme="majorEastAsia" w:hAnsi="Arial" w:cs="Arial"/>
          <w:b/>
          <w:bCs/>
          <w:caps/>
          <w:color w:val="000000" w:themeColor="text1"/>
          <w:sz w:val="26"/>
          <w:szCs w:val="26"/>
        </w:rPr>
      </w:pPr>
      <w:bookmarkStart w:id="143" w:name="_Toc32600569"/>
      <w:bookmarkEnd w:id="143"/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br w:type="page"/>
      </w:r>
    </w:p>
    <w:p w:rsidR="006727BF" w:rsidRPr="00096612" w:rsidRDefault="00703835" w:rsidP="006727BF">
      <w:pPr>
        <w:pStyle w:val="Nadpis1"/>
        <w:spacing w:after="480" w:line="240" w:lineRule="auto"/>
        <w:ind w:left="431" w:hanging="431"/>
        <w:rPr>
          <w:rFonts w:ascii="Arial" w:hAnsi="Arial" w:cs="Arial"/>
          <w:caps/>
          <w:color w:val="000000" w:themeColor="text1"/>
          <w:sz w:val="26"/>
          <w:szCs w:val="26"/>
        </w:rPr>
      </w:pPr>
      <w:bookmarkStart w:id="144" w:name="_Toc36798617"/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lastRenderedPageBreak/>
        <w:t xml:space="preserve">swot </w:t>
      </w:r>
      <w:r w:rsidR="003117E8" w:rsidRPr="00096612">
        <w:rPr>
          <w:rFonts w:ascii="Arial" w:hAnsi="Arial" w:cs="Arial"/>
          <w:caps/>
          <w:color w:val="000000" w:themeColor="text1"/>
          <w:sz w:val="26"/>
          <w:szCs w:val="26"/>
        </w:rPr>
        <w:t xml:space="preserve">ANALÝZA </w:t>
      </w:r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t xml:space="preserve">NEN </w:t>
      </w:r>
      <w:r w:rsidR="00457E80" w:rsidRPr="00096612">
        <w:rPr>
          <w:rFonts w:ascii="Arial" w:hAnsi="Arial" w:cs="Arial"/>
          <w:caps/>
          <w:color w:val="000000" w:themeColor="text1"/>
          <w:sz w:val="26"/>
          <w:szCs w:val="26"/>
        </w:rPr>
        <w:t xml:space="preserve">za rok </w:t>
      </w:r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t>201</w:t>
      </w:r>
      <w:r w:rsidR="001A25FD" w:rsidRPr="00096612">
        <w:rPr>
          <w:rFonts w:ascii="Arial" w:hAnsi="Arial" w:cs="Arial"/>
          <w:caps/>
          <w:color w:val="000000" w:themeColor="text1"/>
          <w:sz w:val="26"/>
          <w:szCs w:val="26"/>
        </w:rPr>
        <w:t>9</w:t>
      </w:r>
      <w:bookmarkEnd w:id="144"/>
      <w:r w:rsidR="006727BF" w:rsidRPr="00096612">
        <w:rPr>
          <w:rFonts w:ascii="Arial" w:hAnsi="Arial" w:cs="Arial"/>
          <w:caps/>
          <w:color w:val="000000" w:themeColor="text1"/>
          <w:sz w:val="26"/>
          <w:szCs w:val="26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33"/>
        <w:gridCol w:w="2127"/>
        <w:gridCol w:w="4240"/>
      </w:tblGrid>
      <w:tr w:rsidR="0096165B" w:rsidRPr="00096612" w:rsidTr="006839F1">
        <w:trPr>
          <w:jc w:val="center"/>
        </w:trPr>
        <w:tc>
          <w:tcPr>
            <w:tcW w:w="2633" w:type="dxa"/>
            <w:shd w:val="clear" w:color="auto" w:fill="DEEAF6" w:themeFill="accent1" w:themeFillTint="33"/>
            <w:vAlign w:val="center"/>
          </w:tcPr>
          <w:p w:rsidR="00703835" w:rsidRPr="00096612" w:rsidRDefault="00703835" w:rsidP="00703835">
            <w:pPr>
              <w:jc w:val="center"/>
              <w:rPr>
                <w:b/>
                <w:color w:val="000000" w:themeColor="text1"/>
              </w:rPr>
            </w:pPr>
            <w:r w:rsidRPr="00096612">
              <w:rPr>
                <w:b/>
                <w:color w:val="000000" w:themeColor="text1"/>
              </w:rPr>
              <w:t>Slabá stránka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703835" w:rsidRPr="00096612" w:rsidRDefault="00703835" w:rsidP="00703835">
            <w:pPr>
              <w:ind w:left="127"/>
              <w:jc w:val="center"/>
              <w:rPr>
                <w:b/>
                <w:color w:val="000000" w:themeColor="text1"/>
              </w:rPr>
            </w:pPr>
            <w:r w:rsidRPr="00096612">
              <w:rPr>
                <w:b/>
                <w:color w:val="000000" w:themeColor="text1"/>
              </w:rPr>
              <w:t>Aktuální stav</w:t>
            </w:r>
          </w:p>
        </w:tc>
        <w:tc>
          <w:tcPr>
            <w:tcW w:w="4240" w:type="dxa"/>
            <w:shd w:val="clear" w:color="auto" w:fill="DEEAF6" w:themeFill="accent1" w:themeFillTint="33"/>
            <w:vAlign w:val="center"/>
          </w:tcPr>
          <w:p w:rsidR="00703835" w:rsidRPr="00096612" w:rsidRDefault="00CB6FE7" w:rsidP="00703835">
            <w:pPr>
              <w:jc w:val="center"/>
              <w:rPr>
                <w:b/>
                <w:color w:val="000000" w:themeColor="text1"/>
              </w:rPr>
            </w:pPr>
            <w:r w:rsidRPr="00096612">
              <w:rPr>
                <w:b/>
                <w:color w:val="000000" w:themeColor="text1"/>
              </w:rPr>
              <w:t>o</w:t>
            </w:r>
            <w:r w:rsidR="00703835" w:rsidRPr="00096612">
              <w:rPr>
                <w:b/>
                <w:color w:val="000000" w:themeColor="text1"/>
              </w:rPr>
              <w:t>patření</w:t>
            </w:r>
          </w:p>
        </w:tc>
      </w:tr>
      <w:tr w:rsidR="0096165B" w:rsidRPr="00096612" w:rsidTr="006839F1">
        <w:trPr>
          <w:jc w:val="center"/>
        </w:trPr>
        <w:tc>
          <w:tcPr>
            <w:tcW w:w="2633" w:type="dxa"/>
            <w:vAlign w:val="center"/>
          </w:tcPr>
          <w:p w:rsidR="00703835" w:rsidRPr="00096612" w:rsidRDefault="003913FD" w:rsidP="003D76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Chybějící interoperabilita s okolními systémy</w:t>
            </w:r>
          </w:p>
        </w:tc>
        <w:tc>
          <w:tcPr>
            <w:tcW w:w="2127" w:type="dxa"/>
            <w:vAlign w:val="center"/>
          </w:tcPr>
          <w:p w:rsidR="00703835" w:rsidRPr="00096612" w:rsidRDefault="003913FD" w:rsidP="003913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Propojení NEN s rozhraním na - Spisová služba (omezeně) - Profil zadavatele NEN</w:t>
            </w:r>
          </w:p>
        </w:tc>
        <w:tc>
          <w:tcPr>
            <w:tcW w:w="4240" w:type="dxa"/>
            <w:vAlign w:val="center"/>
          </w:tcPr>
          <w:p w:rsidR="00703835" w:rsidRPr="00096612" w:rsidRDefault="003913FD" w:rsidP="003074ED">
            <w:pPr>
              <w:pStyle w:val="Default"/>
              <w:jc w:val="both"/>
              <w:rPr>
                <w:color w:val="000000" w:themeColor="text1"/>
              </w:rPr>
            </w:pPr>
            <w:r w:rsidRPr="00096612">
              <w:rPr>
                <w:color w:val="000000" w:themeColor="text1"/>
                <w:sz w:val="20"/>
                <w:szCs w:val="20"/>
              </w:rPr>
              <w:t>Rozvoj dalších rozhraní dle potřeb uživatelů NEN – viz požadavky předkládané na Pracovní skupin</w:t>
            </w:r>
            <w:r w:rsidR="0038058F" w:rsidRPr="00096612">
              <w:rPr>
                <w:color w:val="000000" w:themeColor="text1"/>
                <w:sz w:val="20"/>
                <w:szCs w:val="20"/>
              </w:rPr>
              <w:t>ě</w:t>
            </w:r>
            <w:r w:rsidRPr="00096612">
              <w:rPr>
                <w:color w:val="000000" w:themeColor="text1"/>
                <w:sz w:val="20"/>
                <w:szCs w:val="20"/>
              </w:rPr>
              <w:t xml:space="preserve"> NEN </w:t>
            </w:r>
          </w:p>
        </w:tc>
      </w:tr>
      <w:tr w:rsidR="00703835" w:rsidRPr="00096612" w:rsidTr="006839F1">
        <w:trPr>
          <w:trHeight w:val="3716"/>
          <w:jc w:val="center"/>
        </w:trPr>
        <w:tc>
          <w:tcPr>
            <w:tcW w:w="2633" w:type="dxa"/>
            <w:vAlign w:val="center"/>
          </w:tcPr>
          <w:p w:rsidR="00703835" w:rsidRPr="00096612" w:rsidRDefault="003913FD" w:rsidP="003D76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Nedostatečná funkčnost ve vybraných oblastech (hlavně v oblasti </w:t>
            </w:r>
            <w:r w:rsidR="000736CF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Centrálního zadávání „</w:t>
            </w: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CZ</w:t>
            </w:r>
            <w:r w:rsidR="000736CF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3913FD" w:rsidRPr="00096612" w:rsidRDefault="003913FD" w:rsidP="003913F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096612">
              <w:rPr>
                <w:color w:val="000000" w:themeColor="text1"/>
                <w:sz w:val="20"/>
                <w:szCs w:val="20"/>
              </w:rPr>
              <w:t xml:space="preserve">Systém CZ je k dispozici a je využíván. Chybí individualizovaná podpora pro Centrální nákupy státu (tj. MV a MF). Probíhá tvorba zadání s MF a MV </w:t>
            </w:r>
          </w:p>
          <w:p w:rsidR="00703835" w:rsidRPr="00096612" w:rsidRDefault="00703835" w:rsidP="003D76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:rsidR="00703835" w:rsidRPr="00096612" w:rsidRDefault="004941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38058F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entrální nákupy budou začleněny</w:t>
            </w:r>
            <w:r w:rsidR="002D2801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nové ve</w:t>
            </w:r>
            <w:r w:rsidR="0038058F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2D2801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ze HTML 5 zadavatelského prostředí. Předpokládané nasazení</w:t>
            </w:r>
            <w:r w:rsidR="007520B6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první fáze modulu centralizovaného zadávání </w:t>
            </w:r>
            <w:r w:rsidR="00DB5EE0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 </w:t>
            </w:r>
            <w:r w:rsidR="002D2801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čer</w:t>
            </w:r>
            <w:r w:rsidR="0038058F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vnu</w:t>
            </w: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</w:t>
            </w:r>
            <w:r w:rsidR="002D2801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20.</w:t>
            </w:r>
          </w:p>
        </w:tc>
      </w:tr>
    </w:tbl>
    <w:p w:rsidR="003F13C2" w:rsidRPr="00096612" w:rsidRDefault="003F13C2" w:rsidP="003D76DF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947"/>
        <w:gridCol w:w="6053"/>
      </w:tblGrid>
      <w:tr w:rsidR="0096165B" w:rsidRPr="00096612" w:rsidTr="006839F1">
        <w:trPr>
          <w:trHeight w:val="376"/>
        </w:trPr>
        <w:tc>
          <w:tcPr>
            <w:tcW w:w="2947" w:type="dxa"/>
            <w:shd w:val="clear" w:color="auto" w:fill="DEEAF6" w:themeFill="accent1" w:themeFillTint="33"/>
            <w:vAlign w:val="center"/>
          </w:tcPr>
          <w:p w:rsidR="006727BF" w:rsidRPr="00096612" w:rsidRDefault="006727BF" w:rsidP="003117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Hrozby</w:t>
            </w:r>
          </w:p>
        </w:tc>
        <w:tc>
          <w:tcPr>
            <w:tcW w:w="6053" w:type="dxa"/>
            <w:shd w:val="clear" w:color="auto" w:fill="DEEAF6" w:themeFill="accent1" w:themeFillTint="33"/>
            <w:vAlign w:val="center"/>
          </w:tcPr>
          <w:p w:rsidR="006727BF" w:rsidRPr="00096612" w:rsidRDefault="006727BF" w:rsidP="003117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Realizovaná opatření</w:t>
            </w:r>
          </w:p>
        </w:tc>
      </w:tr>
      <w:tr w:rsidR="0096165B" w:rsidRPr="00096612" w:rsidTr="006839F1">
        <w:trPr>
          <w:trHeight w:val="819"/>
        </w:trPr>
        <w:tc>
          <w:tcPr>
            <w:tcW w:w="2947" w:type="dxa"/>
            <w:shd w:val="clear" w:color="auto" w:fill="auto"/>
            <w:vAlign w:val="center"/>
          </w:tcPr>
          <w:p w:rsidR="006727BF" w:rsidRPr="00096612" w:rsidRDefault="009C1611" w:rsidP="003117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Porucha systému - selhání služby, narušení nebo výpadek služeb a napájení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727BF" w:rsidRPr="00096612" w:rsidRDefault="009C1611" w:rsidP="006727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Provozovatel je dle smluvních podmínek povinen zajišťovat služby na co nejvyšší úrovni kvality a tyto úkony neustále zlepšovat.</w:t>
            </w:r>
          </w:p>
        </w:tc>
      </w:tr>
      <w:tr w:rsidR="0096165B" w:rsidRPr="00096612" w:rsidTr="006839F1">
        <w:trPr>
          <w:trHeight w:val="819"/>
        </w:trPr>
        <w:tc>
          <w:tcPr>
            <w:tcW w:w="2947" w:type="dxa"/>
            <w:shd w:val="clear" w:color="auto" w:fill="auto"/>
            <w:vAlign w:val="center"/>
          </w:tcPr>
          <w:p w:rsidR="006727BF" w:rsidRPr="00096612" w:rsidRDefault="006727BF" w:rsidP="003117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Nedostatečná propagace a </w:t>
            </w:r>
            <w:r w:rsidR="00995D3E"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nedostatek </w:t>
            </w:r>
            <w:r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školení</w:t>
            </w:r>
            <w:r w:rsidR="004941BD"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v návaznosti na spuštění HTML5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E80458" w:rsidRPr="00096612" w:rsidRDefault="00E80458" w:rsidP="00584D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Školení pořádaná </w:t>
            </w:r>
            <w:r w:rsidR="00584D34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ze strany MMR jsou plánovaná cca 1x týdně pro 30 -</w:t>
            </w:r>
            <w:r w:rsidR="004941BD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84D34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40 uživatelů v závislosti na kapacitních možnostech MMR</w:t>
            </w:r>
            <w:r w:rsidR="009C1611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683B78" w:rsidRPr="00096612" w:rsidRDefault="00683B78" w:rsidP="00584D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Plánovaná komunikační kampaň na propagaci nové HTML5 verze NEN</w:t>
            </w:r>
            <w:r w:rsidR="00533FC6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příprava video manuálů</w:t>
            </w:r>
            <w:r w:rsidR="00C21872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 verzi HMTL 5</w:t>
            </w: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6165B" w:rsidRPr="00096612" w:rsidTr="006839F1">
        <w:trPr>
          <w:trHeight w:val="819"/>
        </w:trPr>
        <w:tc>
          <w:tcPr>
            <w:tcW w:w="2947" w:type="dxa"/>
            <w:shd w:val="clear" w:color="auto" w:fill="auto"/>
            <w:vAlign w:val="center"/>
          </w:tcPr>
          <w:p w:rsidR="001D5522" w:rsidRPr="00096612" w:rsidRDefault="009C1611" w:rsidP="001D55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Kybernetické útoky externími subjekty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9C1611" w:rsidRPr="00096612" w:rsidRDefault="009C1611" w:rsidP="009C1611">
            <w:pPr>
              <w:pStyle w:val="TZkladntext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Byla zavedena služba č. 13 – služby datových center. Pokud dojde k bezpečnostní události</w:t>
            </w:r>
            <w:r w:rsidR="006B762E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DB5EE0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jsou informace, v </w:t>
            </w: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souladu s dokumentem „KII-NEN-07-01.01.(8) Zvládání kybernetických bezpečnostních incidentů“, předávány neprodleně e-mailem ISIRT týmu.</w:t>
            </w:r>
          </w:p>
          <w:p w:rsidR="001D5522" w:rsidRPr="00096612" w:rsidRDefault="001D5522" w:rsidP="009C1611">
            <w:pPr>
              <w:pStyle w:val="TZkladntext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165B" w:rsidRPr="00096612" w:rsidTr="006839F1">
        <w:trPr>
          <w:trHeight w:val="819"/>
        </w:trPr>
        <w:tc>
          <w:tcPr>
            <w:tcW w:w="2947" w:type="dxa"/>
            <w:shd w:val="clear" w:color="auto" w:fill="auto"/>
            <w:vAlign w:val="center"/>
          </w:tcPr>
          <w:p w:rsidR="001D5522" w:rsidRPr="00096612" w:rsidRDefault="00E83A20" w:rsidP="001D55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Přizpůsobení stávajícího prostředí NEN</w:t>
            </w:r>
            <w:r w:rsidR="004941BD"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ve verzi SL</w:t>
            </w:r>
            <w:r w:rsidR="002D2801" w:rsidRPr="000966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 duální provoz s HTML 5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1D5522" w:rsidRPr="00096612" w:rsidRDefault="004941BD" w:rsidP="006832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Stávající verze SL zůst</w:t>
            </w:r>
            <w:r w:rsidR="006832C2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ane spuštěna, </w:t>
            </w: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ale </w:t>
            </w:r>
            <w:r w:rsidR="006832C2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nebude dále rozvíjena</w:t>
            </w:r>
            <w:r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D2801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Nutnost udržovat v chodu dvě různá prostředí.</w:t>
            </w:r>
            <w:r w:rsidR="006832C2" w:rsidRPr="00096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 roce 2021 dojde k „vypnutí verze SL.</w:t>
            </w:r>
          </w:p>
        </w:tc>
      </w:tr>
    </w:tbl>
    <w:p w:rsidR="00CA00F2" w:rsidRPr="00096612" w:rsidRDefault="00CA00F2" w:rsidP="00CA00F2">
      <w:pPr>
        <w:pStyle w:val="Nadpis1"/>
        <w:numPr>
          <w:ilvl w:val="0"/>
          <w:numId w:val="0"/>
        </w:numPr>
        <w:tabs>
          <w:tab w:val="left" w:pos="5550"/>
        </w:tabs>
        <w:rPr>
          <w:rFonts w:ascii="Arial" w:hAnsi="Arial" w:cs="Arial"/>
          <w:caps/>
          <w:color w:val="000000" w:themeColor="text1"/>
          <w:sz w:val="26"/>
          <w:szCs w:val="26"/>
        </w:rPr>
      </w:pPr>
      <w:bookmarkStart w:id="145" w:name="_Toc36798618"/>
      <w:bookmarkEnd w:id="142"/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lastRenderedPageBreak/>
        <w:t>Seznam tabulek a grafů</w:t>
      </w:r>
      <w:bookmarkEnd w:id="145"/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tab/>
      </w:r>
    </w:p>
    <w:p w:rsidR="00CA00F2" w:rsidRPr="00096612" w:rsidRDefault="00CA00F2" w:rsidP="00CA00F2">
      <w:pPr>
        <w:keepNext/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Graf č. 1 – SL9 Poskytování technické podpory a servisu 2016-2019</w:t>
      </w: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>14</w:t>
      </w:r>
    </w:p>
    <w:p w:rsidR="00CA00F2" w:rsidRPr="00096612" w:rsidRDefault="00CA00F2" w:rsidP="00CA00F2">
      <w:pPr>
        <w:keepNext/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Graf č. 2 – Počet zadavatelů registrovaných v </w:t>
      </w:r>
      <w:proofErr w:type="gramStart"/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NEN</w:t>
      </w:r>
      <w:proofErr w:type="gramEnd"/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>15</w:t>
      </w:r>
    </w:p>
    <w:p w:rsidR="00CA00F2" w:rsidRPr="00096612" w:rsidRDefault="00CA00F2" w:rsidP="00CA00F2">
      <w:pPr>
        <w:keepNext/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Graf č.3 – Počet dodavatelů registrovaných v </w:t>
      </w:r>
      <w:proofErr w:type="gramStart"/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NEN</w:t>
      </w:r>
      <w:proofErr w:type="gramEnd"/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>16</w:t>
      </w:r>
    </w:p>
    <w:p w:rsidR="00CA00F2" w:rsidRPr="00096612" w:rsidRDefault="00CA00F2" w:rsidP="00CA00F2">
      <w:pPr>
        <w:keepNext/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Graf č. 4 – Počet uživatelů NEN </w:t>
      </w: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>17</w:t>
      </w:r>
    </w:p>
    <w:p w:rsidR="00CA00F2" w:rsidRPr="00096612" w:rsidRDefault="00CA00F2" w:rsidP="00CA00F2">
      <w:pPr>
        <w:tabs>
          <w:tab w:val="left" w:pos="7740"/>
        </w:tabs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 xml:space="preserve">Graf </w:t>
      </w:r>
      <w:proofErr w:type="gramStart"/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>č.5 – Srovnání</w:t>
      </w:r>
      <w:proofErr w:type="gramEnd"/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 xml:space="preserve"> zadaných VZ s průvodcem a ve                                     </w:t>
      </w:r>
    </w:p>
    <w:p w:rsidR="00CA00F2" w:rsidRPr="00096612" w:rsidRDefault="00CA00F2" w:rsidP="00CA00F2">
      <w:pPr>
        <w:tabs>
          <w:tab w:val="left" w:pos="993"/>
          <w:tab w:val="left" w:pos="7797"/>
        </w:tabs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ab/>
      </w:r>
      <w:proofErr w:type="gramStart"/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>zjednodušeném</w:t>
      </w:r>
      <w:proofErr w:type="gramEnd"/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 xml:space="preserve"> průchodu za rok 2019</w:t>
      </w:r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i/>
          <w:color w:val="000000" w:themeColor="text1"/>
          <w:sz w:val="20"/>
          <w:szCs w:val="20"/>
        </w:rPr>
        <w:t>18</w:t>
      </w:r>
    </w:p>
    <w:p w:rsidR="00CA00F2" w:rsidRPr="00096612" w:rsidRDefault="00CA00F2" w:rsidP="00CA00F2">
      <w:pPr>
        <w:tabs>
          <w:tab w:val="left" w:pos="7740"/>
        </w:tabs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 xml:space="preserve">Graf č. 6 – Srovnání zadaných VZ s průvodcem a </w:t>
      </w:r>
      <w:proofErr w:type="gramStart"/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>ve</w:t>
      </w:r>
      <w:proofErr w:type="gramEnd"/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A00F2" w:rsidRPr="00096612" w:rsidRDefault="00CA00F2" w:rsidP="00CA00F2">
      <w:pPr>
        <w:tabs>
          <w:tab w:val="left" w:pos="993"/>
          <w:tab w:val="left" w:pos="7797"/>
        </w:tabs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ab/>
      </w:r>
      <w:proofErr w:type="gramStart"/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>zjednodušeném</w:t>
      </w:r>
      <w:proofErr w:type="gramEnd"/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 xml:space="preserve"> průchodu</w:t>
      </w:r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i/>
          <w:color w:val="000000" w:themeColor="text1"/>
          <w:sz w:val="20"/>
          <w:szCs w:val="20"/>
        </w:rPr>
        <w:t>19</w:t>
      </w:r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A00F2" w:rsidRPr="00096612" w:rsidRDefault="00CA00F2" w:rsidP="00CA00F2">
      <w:pPr>
        <w:tabs>
          <w:tab w:val="left" w:pos="993"/>
          <w:tab w:val="left" w:pos="7797"/>
        </w:tabs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>Graf č. 7 – Počet zadaných VZMR za rok 2019</w:t>
      </w:r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i/>
          <w:color w:val="000000" w:themeColor="text1"/>
          <w:sz w:val="20"/>
          <w:szCs w:val="20"/>
        </w:rPr>
        <w:t>19</w:t>
      </w:r>
    </w:p>
    <w:p w:rsidR="00CA00F2" w:rsidRPr="00096612" w:rsidRDefault="00CA00F2" w:rsidP="00CA00F2">
      <w:pPr>
        <w:tabs>
          <w:tab w:val="left" w:pos="7797"/>
          <w:tab w:val="left" w:pos="8364"/>
        </w:tabs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A00F2" w:rsidRPr="00096612" w:rsidRDefault="00CA00F2" w:rsidP="00CA00F2">
      <w:pPr>
        <w:tabs>
          <w:tab w:val="left" w:pos="7797"/>
          <w:tab w:val="left" w:pos="8364"/>
        </w:tabs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A00F2" w:rsidRPr="00096612" w:rsidRDefault="00CA00F2" w:rsidP="00CA00F2">
      <w:pPr>
        <w:tabs>
          <w:tab w:val="left" w:pos="7797"/>
          <w:tab w:val="left" w:pos="8364"/>
        </w:tabs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 xml:space="preserve">Tabulka č. 1 – Žádosti o výjimku z využívání NEN od 1. 7. 2018     </w:t>
      </w:r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</w:t>
      </w:r>
      <w:r w:rsidRPr="00096612">
        <w:rPr>
          <w:rFonts w:ascii="Arial" w:hAnsi="Arial" w:cs="Arial"/>
          <w:i/>
          <w:color w:val="000000" w:themeColor="text1"/>
          <w:sz w:val="20"/>
          <w:szCs w:val="20"/>
        </w:rPr>
        <w:t xml:space="preserve">5                                                                                                                             </w:t>
      </w:r>
    </w:p>
    <w:p w:rsidR="00CA00F2" w:rsidRPr="00096612" w:rsidRDefault="00CA00F2" w:rsidP="00CA00F2">
      <w:pPr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Tabulka č. 2</w:t>
      </w:r>
      <w:r w:rsidR="00DB5EE0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– Údaje o P</w:t>
      </w: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rovozovateli NEN</w:t>
      </w: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>11</w:t>
      </w:r>
    </w:p>
    <w:p w:rsidR="00CA00F2" w:rsidRPr="00096612" w:rsidRDefault="00CA00F2" w:rsidP="00CA00F2">
      <w:pPr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Tabulka č. 3 – Paušální měsíční náklady na Provoz NEN podle služeb</w:t>
      </w: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>11</w:t>
      </w:r>
    </w:p>
    <w:p w:rsidR="00CA00F2" w:rsidRPr="00096612" w:rsidRDefault="00CA00F2" w:rsidP="00CA00F2">
      <w:pPr>
        <w:keepNext/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Tabulka č. 4 – Dostupnost aplikace NEN za období od 1. 1. 2018 do 31. 12. 2018</w:t>
      </w: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>12</w:t>
      </w:r>
    </w:p>
    <w:p w:rsidR="00CA00F2" w:rsidRPr="00096612" w:rsidRDefault="00CA00F2" w:rsidP="00CA00F2">
      <w:pPr>
        <w:keepNext/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Tabulka č. 5 – Dostupnost SD za období od 1. 1. 2018 do 31. 12. 2018</w:t>
      </w: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>12</w:t>
      </w:r>
    </w:p>
    <w:p w:rsidR="00CA00F2" w:rsidRPr="00096612" w:rsidRDefault="00CA00F2" w:rsidP="00CA00F2">
      <w:pPr>
        <w:keepNext/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Tabulka č. 6 – SL9 Poskytování technické podpory a servisu 2018 </w:t>
      </w: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>13</w:t>
      </w:r>
    </w:p>
    <w:p w:rsidR="00CA00F2" w:rsidRPr="00096612" w:rsidRDefault="00CA00F2" w:rsidP="00CA00F2">
      <w:pPr>
        <w:keepNext/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Tabulka č. 7 – Počet přijatých požadavků v SD </w:t>
      </w: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>14</w:t>
      </w:r>
    </w:p>
    <w:p w:rsidR="00CA00F2" w:rsidRPr="00096612" w:rsidRDefault="00CA00F2" w:rsidP="00CA00F2">
      <w:pPr>
        <w:keepNext/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Tabulka č. 8 – Počet zadavatelů registrovaných v </w:t>
      </w:r>
      <w:proofErr w:type="gramStart"/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NEN</w:t>
      </w:r>
      <w:proofErr w:type="gramEnd"/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>15</w:t>
      </w:r>
    </w:p>
    <w:p w:rsidR="00CA00F2" w:rsidRPr="00096612" w:rsidRDefault="00CA00F2" w:rsidP="00CA00F2">
      <w:pPr>
        <w:keepNext/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Tabulka č. 9 – Počet dodavatelů registrovaných v </w:t>
      </w:r>
      <w:proofErr w:type="gramStart"/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NEN</w:t>
      </w:r>
      <w:proofErr w:type="gramEnd"/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>16</w:t>
      </w:r>
    </w:p>
    <w:p w:rsidR="00CA00F2" w:rsidRPr="00096612" w:rsidRDefault="00CA00F2" w:rsidP="00CA00F2">
      <w:pPr>
        <w:keepNext/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>Tabulka č. 10 – Celkový vývoj uživatelů do konce roku 2018</w:t>
      </w: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ab/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>17</w:t>
      </w:r>
    </w:p>
    <w:p w:rsidR="00CA00F2" w:rsidRPr="00096612" w:rsidRDefault="00CA00F2" w:rsidP="00CA00F2">
      <w:pPr>
        <w:keepNext/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Tabulka č. 11 – Tabulka obsahuje výčet dle nejvyužívanějších a realizovatelných   </w:t>
      </w:r>
    </w:p>
    <w:p w:rsidR="00CA00F2" w:rsidRPr="00096612" w:rsidRDefault="00CA00F2" w:rsidP="00CA00F2">
      <w:pPr>
        <w:keepNext/>
        <w:tabs>
          <w:tab w:val="left" w:pos="7797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  druhů zadávacích řízení v roce 2019 v řazení od největšího po nejmenší    </w:t>
      </w:r>
      <w:r w:rsidR="004251CB"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</w:t>
      </w:r>
      <w:r w:rsidR="00A505CE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20</w:t>
      </w:r>
      <w:r w:rsidRPr="0009661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                                                 </w:t>
      </w:r>
    </w:p>
    <w:p w:rsidR="004F5641" w:rsidRPr="00096612" w:rsidRDefault="00BA6B19" w:rsidP="005925E9">
      <w:pPr>
        <w:pStyle w:val="Nadpis1"/>
        <w:numPr>
          <w:ilvl w:val="0"/>
          <w:numId w:val="0"/>
        </w:numPr>
        <w:tabs>
          <w:tab w:val="left" w:pos="5550"/>
        </w:tabs>
        <w:rPr>
          <w:rFonts w:cs="Arial"/>
          <w:caps/>
          <w:color w:val="000000" w:themeColor="text1"/>
          <w:sz w:val="26"/>
          <w:szCs w:val="26"/>
        </w:rPr>
      </w:pPr>
      <w:bookmarkStart w:id="146" w:name="_Toc36798619"/>
      <w:r w:rsidRPr="00096612">
        <w:rPr>
          <w:rFonts w:ascii="Arial" w:hAnsi="Arial" w:cs="Arial"/>
          <w:caps/>
          <w:color w:val="000000" w:themeColor="text1"/>
          <w:sz w:val="26"/>
          <w:szCs w:val="26"/>
        </w:rPr>
        <w:t>Z</w:t>
      </w:r>
      <w:r w:rsidR="004F5641" w:rsidRPr="00096612">
        <w:rPr>
          <w:rFonts w:ascii="Arial" w:hAnsi="Arial" w:cs="Arial"/>
          <w:caps/>
          <w:color w:val="000000" w:themeColor="text1"/>
          <w:sz w:val="26"/>
          <w:szCs w:val="26"/>
        </w:rPr>
        <w:t>droje</w:t>
      </w:r>
      <w:bookmarkEnd w:id="146"/>
    </w:p>
    <w:p w:rsidR="004F5641" w:rsidRPr="00096612" w:rsidRDefault="004F5641" w:rsidP="004F5641">
      <w:pPr>
        <w:pStyle w:val="xBullet"/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>Platná legislativa a související strategické dokumenty;</w:t>
      </w:r>
    </w:p>
    <w:p w:rsidR="004F5641" w:rsidRPr="00096612" w:rsidRDefault="004F5641" w:rsidP="004F5641">
      <w:pPr>
        <w:pStyle w:val="xBullet"/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>Strategie elektronizace zadávání veřejných zakázek pro období let 2016 až 2020, vyhodnocení efektivity fungování a návrh dalšího postupu využívání elektronických tržišť veřejné správy a</w:t>
      </w:r>
      <w:r w:rsidR="00B75627" w:rsidRPr="00096612">
        <w:rPr>
          <w:rFonts w:cs="Arial"/>
          <w:color w:val="000000" w:themeColor="text1"/>
        </w:rPr>
        <w:t> </w:t>
      </w:r>
      <w:r w:rsidRPr="00096612">
        <w:rPr>
          <w:rFonts w:cs="Arial"/>
          <w:color w:val="000000" w:themeColor="text1"/>
        </w:rPr>
        <w:t>návrh povinného používání NEN;</w:t>
      </w:r>
    </w:p>
    <w:p w:rsidR="004F5641" w:rsidRPr="00096612" w:rsidRDefault="004F5641" w:rsidP="004F5641">
      <w:pPr>
        <w:pStyle w:val="xBullet"/>
        <w:rPr>
          <w:rFonts w:cs="Arial"/>
          <w:color w:val="000000" w:themeColor="text1"/>
        </w:rPr>
      </w:pPr>
      <w:r w:rsidRPr="00096612">
        <w:rPr>
          <w:color w:val="000000" w:themeColor="text1"/>
        </w:rPr>
        <w:t>Aktualizace akčního plánu plnění Strategie elektronizace zadávání veřejných zakázek pro období let 2016 - 2020</w:t>
      </w:r>
      <w:r w:rsidRPr="00096612">
        <w:rPr>
          <w:rFonts w:cs="Arial"/>
          <w:color w:val="000000" w:themeColor="text1"/>
        </w:rPr>
        <w:t>;</w:t>
      </w:r>
    </w:p>
    <w:p w:rsidR="004F5641" w:rsidRPr="00096612" w:rsidRDefault="004F5641" w:rsidP="004F5641">
      <w:pPr>
        <w:pStyle w:val="xBullet"/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 xml:space="preserve">Zpráva o fungování NEN za rok </w:t>
      </w:r>
      <w:r w:rsidR="004941BD" w:rsidRPr="00096612">
        <w:rPr>
          <w:rFonts w:cs="Arial"/>
          <w:color w:val="000000" w:themeColor="text1"/>
        </w:rPr>
        <w:t xml:space="preserve">2017 </w:t>
      </w:r>
      <w:r w:rsidRPr="00096612">
        <w:rPr>
          <w:rFonts w:cs="Arial"/>
          <w:color w:val="000000" w:themeColor="text1"/>
        </w:rPr>
        <w:t xml:space="preserve">a </w:t>
      </w:r>
      <w:r w:rsidR="004941BD" w:rsidRPr="00096612">
        <w:rPr>
          <w:rFonts w:cs="Arial"/>
          <w:color w:val="000000" w:themeColor="text1"/>
        </w:rPr>
        <w:t>2018</w:t>
      </w:r>
      <w:r w:rsidRPr="00096612">
        <w:rPr>
          <w:rFonts w:cs="Arial"/>
          <w:color w:val="000000" w:themeColor="text1"/>
        </w:rPr>
        <w:t>;</w:t>
      </w:r>
    </w:p>
    <w:p w:rsidR="004F5641" w:rsidRPr="00096612" w:rsidRDefault="004F5641" w:rsidP="004F5641">
      <w:pPr>
        <w:pStyle w:val="xBullet"/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 xml:space="preserve">Zpráva o plnění Strategie elektronizace zadávání veřejných zakázek pro období let 2016 </w:t>
      </w:r>
      <w:r w:rsidRPr="00096612">
        <w:rPr>
          <w:rFonts w:cs="Arial"/>
          <w:color w:val="000000" w:themeColor="text1"/>
        </w:rPr>
        <w:br/>
        <w:t>až 2020 za rok 2017;</w:t>
      </w:r>
    </w:p>
    <w:p w:rsidR="004F5641" w:rsidRPr="00096612" w:rsidRDefault="004F5641" w:rsidP="004F5641">
      <w:pPr>
        <w:pStyle w:val="xBullet"/>
        <w:rPr>
          <w:rFonts w:cs="Arial"/>
          <w:color w:val="000000" w:themeColor="text1"/>
        </w:rPr>
      </w:pPr>
      <w:r w:rsidRPr="00096612">
        <w:rPr>
          <w:color w:val="000000" w:themeColor="text1"/>
        </w:rPr>
        <w:t>Zápisy z jednání Řídící skupiny pro realizaci Strate</w:t>
      </w:r>
      <w:r w:rsidR="00DB5EE0" w:rsidRPr="00096612">
        <w:rPr>
          <w:color w:val="000000" w:themeColor="text1"/>
        </w:rPr>
        <w:t xml:space="preserve">gie zadávání veřejných zakázek </w:t>
      </w:r>
      <w:r w:rsidRPr="00096612">
        <w:rPr>
          <w:color w:val="000000" w:themeColor="text1"/>
        </w:rPr>
        <w:t xml:space="preserve">a Pracovní skupiny pro funkčnost NEN za rok </w:t>
      </w:r>
      <w:r w:rsidR="004941BD" w:rsidRPr="00096612">
        <w:rPr>
          <w:color w:val="000000" w:themeColor="text1"/>
        </w:rPr>
        <w:t>2019</w:t>
      </w:r>
      <w:r w:rsidRPr="00096612">
        <w:rPr>
          <w:color w:val="000000" w:themeColor="text1"/>
        </w:rPr>
        <w:t>,</w:t>
      </w:r>
    </w:p>
    <w:p w:rsidR="004F5641" w:rsidRPr="00096612" w:rsidRDefault="004F5641" w:rsidP="004F5641">
      <w:pPr>
        <w:pStyle w:val="xBullet"/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>Smlouva o zajištění provozu NEN;</w:t>
      </w:r>
    </w:p>
    <w:p w:rsidR="004F5641" w:rsidRPr="00096612" w:rsidRDefault="004F5641" w:rsidP="004F5641">
      <w:pPr>
        <w:pStyle w:val="xBullet"/>
        <w:rPr>
          <w:rFonts w:cs="Arial"/>
          <w:color w:val="000000" w:themeColor="text1"/>
        </w:rPr>
      </w:pPr>
      <w:r w:rsidRPr="00096612">
        <w:rPr>
          <w:rFonts w:cs="Arial"/>
          <w:color w:val="000000" w:themeColor="text1"/>
        </w:rPr>
        <w:t>Zdrojem pro statistická data byl systém NEN a ServiceDesk;</w:t>
      </w:r>
    </w:p>
    <w:p w:rsidR="00653A06" w:rsidRPr="00096612" w:rsidRDefault="004F5641" w:rsidP="00D62628">
      <w:pPr>
        <w:pStyle w:val="xBullet"/>
        <w:tabs>
          <w:tab w:val="left" w:pos="7740"/>
        </w:tabs>
        <w:rPr>
          <w:rFonts w:cs="Arial"/>
          <w:b/>
          <w:color w:val="000000" w:themeColor="text1"/>
        </w:rPr>
      </w:pPr>
      <w:r w:rsidRPr="00096612">
        <w:rPr>
          <w:rFonts w:cs="Arial"/>
          <w:color w:val="000000" w:themeColor="text1"/>
        </w:rPr>
        <w:t>Akční plán boje s korupcí 2018.</w:t>
      </w:r>
    </w:p>
    <w:sectPr w:rsidR="00653A06" w:rsidRPr="00096612" w:rsidSect="00945254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32" w:rsidRDefault="004A4332" w:rsidP="00C847B9">
      <w:pPr>
        <w:spacing w:after="0" w:line="240" w:lineRule="auto"/>
      </w:pPr>
      <w:r>
        <w:separator/>
      </w:r>
    </w:p>
  </w:endnote>
  <w:endnote w:type="continuationSeparator" w:id="0">
    <w:p w:rsidR="004A4332" w:rsidRDefault="004A4332" w:rsidP="00C8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044764"/>
      <w:docPartObj>
        <w:docPartGallery w:val="Page Numbers (Bottom of Page)"/>
        <w:docPartUnique/>
      </w:docPartObj>
    </w:sdtPr>
    <w:sdtEndPr/>
    <w:sdtContent>
      <w:p w:rsidR="00A97546" w:rsidRDefault="00A9754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60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97546" w:rsidRDefault="00A97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32" w:rsidRDefault="004A4332" w:rsidP="00C847B9">
      <w:pPr>
        <w:spacing w:after="0" w:line="240" w:lineRule="auto"/>
      </w:pPr>
      <w:r>
        <w:separator/>
      </w:r>
    </w:p>
  </w:footnote>
  <w:footnote w:type="continuationSeparator" w:id="0">
    <w:p w:rsidR="004A4332" w:rsidRDefault="004A4332" w:rsidP="00C847B9">
      <w:pPr>
        <w:spacing w:after="0" w:line="240" w:lineRule="auto"/>
      </w:pPr>
      <w:r>
        <w:continuationSeparator/>
      </w:r>
    </w:p>
  </w:footnote>
  <w:footnote w:id="1">
    <w:p w:rsidR="00A97546" w:rsidRPr="006B7894" w:rsidRDefault="00A97546" w:rsidP="00C847B9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6B7894">
        <w:rPr>
          <w:rStyle w:val="Znakapoznpodarou"/>
          <w:rFonts w:ascii="Arial" w:hAnsi="Arial" w:cs="Arial"/>
          <w:sz w:val="16"/>
          <w:szCs w:val="16"/>
        </w:rPr>
        <w:footnoteRef/>
      </w:r>
      <w:r w:rsidRPr="006B7894">
        <w:rPr>
          <w:rFonts w:ascii="Arial" w:hAnsi="Arial" w:cs="Arial"/>
          <w:sz w:val="16"/>
          <w:szCs w:val="16"/>
        </w:rPr>
        <w:t xml:space="preserve"> Více informací o nastavení rolí a práv uživatelů v NEN lze nalézt v příručce </w:t>
      </w:r>
      <w:r w:rsidRPr="005415E3">
        <w:rPr>
          <w:rFonts w:ascii="Arial" w:hAnsi="Arial" w:cs="Arial"/>
          <w:sz w:val="16"/>
          <w:szCs w:val="16"/>
        </w:rPr>
        <w:t xml:space="preserve">ZZVZ – Registrace a správa organizace a osob zadavatele dostupné na </w:t>
      </w:r>
      <w:hyperlink r:id="rId1" w:history="1">
        <w:r w:rsidRPr="00250A69">
          <w:rPr>
            <w:rStyle w:val="Hypertextovodkaz"/>
            <w:rFonts w:ascii="Arial" w:hAnsi="Arial" w:cs="Arial"/>
            <w:sz w:val="16"/>
            <w:szCs w:val="16"/>
          </w:rPr>
          <w:t>https://nen.nipez.cz/UzivatelskeInformace/UzivatelskePrirucky</w:t>
        </w:r>
      </w:hyperlink>
      <w:r>
        <w:rPr>
          <w:rStyle w:val="Hypertextovodkaz"/>
          <w:rFonts w:ascii="Arial" w:hAnsi="Arial" w:cs="Arial"/>
          <w:sz w:val="16"/>
          <w:szCs w:val="16"/>
        </w:rPr>
        <w:t>.</w:t>
      </w:r>
    </w:p>
    <w:p w:rsidR="00A97546" w:rsidRPr="003D76DF" w:rsidRDefault="00A97546" w:rsidP="00C847B9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0CF"/>
    <w:multiLevelType w:val="hybridMultilevel"/>
    <w:tmpl w:val="4A40CA86"/>
    <w:lvl w:ilvl="0" w:tplc="040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A9D51F9"/>
    <w:multiLevelType w:val="hybridMultilevel"/>
    <w:tmpl w:val="A3C2E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1584"/>
    <w:multiLevelType w:val="hybridMultilevel"/>
    <w:tmpl w:val="5FDC1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7EBB"/>
    <w:multiLevelType w:val="hybridMultilevel"/>
    <w:tmpl w:val="28AA6C9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B73A2"/>
    <w:multiLevelType w:val="hybridMultilevel"/>
    <w:tmpl w:val="D2F4925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3124C52"/>
    <w:multiLevelType w:val="hybridMultilevel"/>
    <w:tmpl w:val="D1A08C26"/>
    <w:lvl w:ilvl="0" w:tplc="61D6A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5459"/>
    <w:multiLevelType w:val="hybridMultilevel"/>
    <w:tmpl w:val="1D6E5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79A1"/>
    <w:multiLevelType w:val="hybridMultilevel"/>
    <w:tmpl w:val="E286EE8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CC32F2"/>
    <w:multiLevelType w:val="hybridMultilevel"/>
    <w:tmpl w:val="E32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F2C3C"/>
    <w:multiLevelType w:val="hybridMultilevel"/>
    <w:tmpl w:val="2C8C4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1AC6"/>
    <w:multiLevelType w:val="hybridMultilevel"/>
    <w:tmpl w:val="B7FCC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2679A"/>
    <w:multiLevelType w:val="hybridMultilevel"/>
    <w:tmpl w:val="DF7AD532"/>
    <w:lvl w:ilvl="0" w:tplc="6574A62E">
      <w:start w:val="1"/>
      <w:numFmt w:val="bullet"/>
      <w:pStyle w:val="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B4C78"/>
    <w:multiLevelType w:val="hybridMultilevel"/>
    <w:tmpl w:val="9D401804"/>
    <w:lvl w:ilvl="0" w:tplc="0405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 w15:restartNumberingAfterBreak="0">
    <w:nsid w:val="219912FC"/>
    <w:multiLevelType w:val="hybridMultilevel"/>
    <w:tmpl w:val="E8EAF8C2"/>
    <w:lvl w:ilvl="0" w:tplc="0405000B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 w15:restartNumberingAfterBreak="0">
    <w:nsid w:val="23F76F86"/>
    <w:multiLevelType w:val="hybridMultilevel"/>
    <w:tmpl w:val="94FC0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C0B65"/>
    <w:multiLevelType w:val="hybridMultilevel"/>
    <w:tmpl w:val="C1CA0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40B5C"/>
    <w:multiLevelType w:val="hybridMultilevel"/>
    <w:tmpl w:val="06EA9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E4A15"/>
    <w:multiLevelType w:val="hybridMultilevel"/>
    <w:tmpl w:val="9C087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D447B"/>
    <w:multiLevelType w:val="hybridMultilevel"/>
    <w:tmpl w:val="C24C7D0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377DCD"/>
    <w:multiLevelType w:val="hybridMultilevel"/>
    <w:tmpl w:val="D4D4402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4794D67"/>
    <w:multiLevelType w:val="hybridMultilevel"/>
    <w:tmpl w:val="D1043CAA"/>
    <w:lvl w:ilvl="0" w:tplc="040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35F838F5"/>
    <w:multiLevelType w:val="hybridMultilevel"/>
    <w:tmpl w:val="45D44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3EAA"/>
    <w:multiLevelType w:val="hybridMultilevel"/>
    <w:tmpl w:val="3DF2F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02545"/>
    <w:multiLevelType w:val="hybridMultilevel"/>
    <w:tmpl w:val="047C752C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264340C"/>
    <w:multiLevelType w:val="hybridMultilevel"/>
    <w:tmpl w:val="6D88883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4634A27"/>
    <w:multiLevelType w:val="hybridMultilevel"/>
    <w:tmpl w:val="1E7E3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E746A"/>
    <w:multiLevelType w:val="hybridMultilevel"/>
    <w:tmpl w:val="400099B6"/>
    <w:lvl w:ilvl="0" w:tplc="68EA432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C1C85"/>
    <w:multiLevelType w:val="hybridMultilevel"/>
    <w:tmpl w:val="7EA623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451A3F"/>
    <w:multiLevelType w:val="hybridMultilevel"/>
    <w:tmpl w:val="E3909E74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4B6223B0"/>
    <w:multiLevelType w:val="hybridMultilevel"/>
    <w:tmpl w:val="BAD8A1DC"/>
    <w:lvl w:ilvl="0" w:tplc="43847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E40F3"/>
    <w:multiLevelType w:val="hybridMultilevel"/>
    <w:tmpl w:val="930840D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906" w:hanging="360"/>
      </w:pPr>
      <w:rPr>
        <w:rFonts w:ascii="Wingdings" w:hAnsi="Wingdings" w:hint="default"/>
      </w:rPr>
    </w:lvl>
  </w:abstractNum>
  <w:abstractNum w:abstractNumId="31" w15:restartNumberingAfterBreak="0">
    <w:nsid w:val="51AA3B0A"/>
    <w:multiLevelType w:val="hybridMultilevel"/>
    <w:tmpl w:val="42E230D6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231A6"/>
    <w:multiLevelType w:val="hybridMultilevel"/>
    <w:tmpl w:val="F3883D80"/>
    <w:lvl w:ilvl="0" w:tplc="A4D29B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C03DA6"/>
    <w:multiLevelType w:val="hybridMultilevel"/>
    <w:tmpl w:val="73308996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53C9181B"/>
    <w:multiLevelType w:val="hybridMultilevel"/>
    <w:tmpl w:val="D2327954"/>
    <w:lvl w:ilvl="0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5" w15:restartNumberingAfterBreak="0">
    <w:nsid w:val="56205F8A"/>
    <w:multiLevelType w:val="hybridMultilevel"/>
    <w:tmpl w:val="19EAA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D1A02"/>
    <w:multiLevelType w:val="hybridMultilevel"/>
    <w:tmpl w:val="E58E18A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587670B3"/>
    <w:multiLevelType w:val="hybridMultilevel"/>
    <w:tmpl w:val="5F76C6CE"/>
    <w:lvl w:ilvl="0" w:tplc="0405000F">
      <w:start w:val="1"/>
      <w:numFmt w:val="decimal"/>
      <w:lvlText w:val="%1.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8" w15:restartNumberingAfterBreak="0">
    <w:nsid w:val="5C945505"/>
    <w:multiLevelType w:val="hybridMultilevel"/>
    <w:tmpl w:val="45D44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310EC"/>
    <w:multiLevelType w:val="hybridMultilevel"/>
    <w:tmpl w:val="A75277C8"/>
    <w:lvl w:ilvl="0" w:tplc="85243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43057"/>
    <w:multiLevelType w:val="hybridMultilevel"/>
    <w:tmpl w:val="A9161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42898"/>
    <w:multiLevelType w:val="hybridMultilevel"/>
    <w:tmpl w:val="314A4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6179B1"/>
    <w:multiLevelType w:val="multilevel"/>
    <w:tmpl w:val="CDB2DF5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color w:val="000000" w:themeColor="text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5326C0C"/>
    <w:multiLevelType w:val="hybridMultilevel"/>
    <w:tmpl w:val="C5EC60E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744797D"/>
    <w:multiLevelType w:val="hybridMultilevel"/>
    <w:tmpl w:val="DE90F5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57851"/>
    <w:multiLevelType w:val="hybridMultilevel"/>
    <w:tmpl w:val="CA90965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8607F3B"/>
    <w:multiLevelType w:val="hybridMultilevel"/>
    <w:tmpl w:val="5D1EB02E"/>
    <w:lvl w:ilvl="0" w:tplc="1242F206">
      <w:numFmt w:val="bullet"/>
      <w:lvlText w:val="-"/>
      <w:lvlJc w:val="left"/>
      <w:pPr>
        <w:ind w:left="199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6C816DB7"/>
    <w:multiLevelType w:val="hybridMultilevel"/>
    <w:tmpl w:val="EF068072"/>
    <w:lvl w:ilvl="0" w:tplc="F6F474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C4364C"/>
    <w:multiLevelType w:val="hybridMultilevel"/>
    <w:tmpl w:val="45D44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D40DDF"/>
    <w:multiLevelType w:val="hybridMultilevel"/>
    <w:tmpl w:val="B92C3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A65658"/>
    <w:multiLevelType w:val="hybridMultilevel"/>
    <w:tmpl w:val="4FCE2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D84156"/>
    <w:multiLevelType w:val="hybridMultilevel"/>
    <w:tmpl w:val="F8546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3" w:tplc="247C00A0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 w:val="0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E700B4"/>
    <w:multiLevelType w:val="hybridMultilevel"/>
    <w:tmpl w:val="A6B01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ED1BBC"/>
    <w:multiLevelType w:val="hybridMultilevel"/>
    <w:tmpl w:val="5F76C6CE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412430"/>
    <w:multiLevelType w:val="hybridMultilevel"/>
    <w:tmpl w:val="DFD8DD3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5" w15:restartNumberingAfterBreak="0">
    <w:nsid w:val="7ECE7481"/>
    <w:multiLevelType w:val="hybridMultilevel"/>
    <w:tmpl w:val="AE6262FE"/>
    <w:lvl w:ilvl="0" w:tplc="0405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1"/>
  </w:num>
  <w:num w:numId="3">
    <w:abstractNumId w:val="8"/>
  </w:num>
  <w:num w:numId="4">
    <w:abstractNumId w:val="11"/>
  </w:num>
  <w:num w:numId="5">
    <w:abstractNumId w:val="16"/>
  </w:num>
  <w:num w:numId="6">
    <w:abstractNumId w:val="35"/>
  </w:num>
  <w:num w:numId="7">
    <w:abstractNumId w:val="17"/>
  </w:num>
  <w:num w:numId="8">
    <w:abstractNumId w:val="45"/>
  </w:num>
  <w:num w:numId="9">
    <w:abstractNumId w:val="33"/>
  </w:num>
  <w:num w:numId="10">
    <w:abstractNumId w:val="41"/>
  </w:num>
  <w:num w:numId="11">
    <w:abstractNumId w:val="1"/>
  </w:num>
  <w:num w:numId="12">
    <w:abstractNumId w:val="28"/>
  </w:num>
  <w:num w:numId="13">
    <w:abstractNumId w:val="9"/>
  </w:num>
  <w:num w:numId="14">
    <w:abstractNumId w:val="31"/>
  </w:num>
  <w:num w:numId="15">
    <w:abstractNumId w:val="24"/>
  </w:num>
  <w:num w:numId="16">
    <w:abstractNumId w:val="20"/>
  </w:num>
  <w:num w:numId="17">
    <w:abstractNumId w:val="49"/>
  </w:num>
  <w:num w:numId="18">
    <w:abstractNumId w:val="5"/>
  </w:num>
  <w:num w:numId="19">
    <w:abstractNumId w:val="36"/>
  </w:num>
  <w:num w:numId="20">
    <w:abstractNumId w:val="3"/>
  </w:num>
  <w:num w:numId="21">
    <w:abstractNumId w:val="18"/>
  </w:num>
  <w:num w:numId="22">
    <w:abstractNumId w:val="10"/>
  </w:num>
  <w:num w:numId="23">
    <w:abstractNumId w:val="53"/>
  </w:num>
  <w:num w:numId="24">
    <w:abstractNumId w:val="44"/>
  </w:num>
  <w:num w:numId="25">
    <w:abstractNumId w:val="47"/>
  </w:num>
  <w:num w:numId="26">
    <w:abstractNumId w:val="19"/>
  </w:num>
  <w:num w:numId="27">
    <w:abstractNumId w:val="21"/>
  </w:num>
  <w:num w:numId="28">
    <w:abstractNumId w:val="39"/>
  </w:num>
  <w:num w:numId="29">
    <w:abstractNumId w:val="26"/>
  </w:num>
  <w:num w:numId="30">
    <w:abstractNumId w:val="23"/>
  </w:num>
  <w:num w:numId="31">
    <w:abstractNumId w:val="7"/>
  </w:num>
  <w:num w:numId="32">
    <w:abstractNumId w:val="50"/>
  </w:num>
  <w:num w:numId="33">
    <w:abstractNumId w:val="37"/>
  </w:num>
  <w:num w:numId="34">
    <w:abstractNumId w:val="22"/>
  </w:num>
  <w:num w:numId="35">
    <w:abstractNumId w:val="34"/>
  </w:num>
  <w:num w:numId="36">
    <w:abstractNumId w:val="2"/>
  </w:num>
  <w:num w:numId="37">
    <w:abstractNumId w:val="0"/>
  </w:num>
  <w:num w:numId="38">
    <w:abstractNumId w:val="30"/>
  </w:num>
  <w:num w:numId="39">
    <w:abstractNumId w:val="12"/>
  </w:num>
  <w:num w:numId="40">
    <w:abstractNumId w:val="15"/>
  </w:num>
  <w:num w:numId="41">
    <w:abstractNumId w:val="55"/>
  </w:num>
  <w:num w:numId="42">
    <w:abstractNumId w:val="52"/>
  </w:num>
  <w:num w:numId="43">
    <w:abstractNumId w:val="13"/>
  </w:num>
  <w:num w:numId="44">
    <w:abstractNumId w:val="27"/>
  </w:num>
  <w:num w:numId="45">
    <w:abstractNumId w:val="46"/>
  </w:num>
  <w:num w:numId="46">
    <w:abstractNumId w:val="40"/>
  </w:num>
  <w:num w:numId="47">
    <w:abstractNumId w:val="48"/>
  </w:num>
  <w:num w:numId="48">
    <w:abstractNumId w:val="6"/>
  </w:num>
  <w:num w:numId="49">
    <w:abstractNumId w:val="32"/>
  </w:num>
  <w:num w:numId="50">
    <w:abstractNumId w:val="14"/>
  </w:num>
  <w:num w:numId="51">
    <w:abstractNumId w:val="42"/>
    <w:lvlOverride w:ilvl="0">
      <w:startOverride w:val="1"/>
    </w:lvlOverride>
    <w:lvlOverride w:ilvl="1">
      <w:startOverride w:val="2"/>
    </w:lvlOverride>
  </w:num>
  <w:num w:numId="52">
    <w:abstractNumId w:val="42"/>
    <w:lvlOverride w:ilvl="0">
      <w:startOverride w:val="1"/>
    </w:lvlOverride>
    <w:lvlOverride w:ilvl="1">
      <w:startOverride w:val="2"/>
    </w:lvlOverride>
  </w:num>
  <w:num w:numId="53">
    <w:abstractNumId w:val="42"/>
    <w:lvlOverride w:ilvl="0">
      <w:startOverride w:val="1"/>
    </w:lvlOverride>
    <w:lvlOverride w:ilvl="1">
      <w:startOverride w:val="2"/>
    </w:lvlOverride>
  </w:num>
  <w:num w:numId="54">
    <w:abstractNumId w:val="29"/>
  </w:num>
  <w:num w:numId="55">
    <w:abstractNumId w:val="38"/>
  </w:num>
  <w:num w:numId="56">
    <w:abstractNumId w:val="25"/>
  </w:num>
  <w:num w:numId="57">
    <w:abstractNumId w:val="42"/>
  </w:num>
  <w:num w:numId="58">
    <w:abstractNumId w:val="54"/>
  </w:num>
  <w:num w:numId="59">
    <w:abstractNumId w:val="4"/>
  </w:num>
  <w:num w:numId="60">
    <w:abstractNumId w:val="43"/>
  </w:num>
  <w:num w:numId="61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B9"/>
    <w:rsid w:val="00000622"/>
    <w:rsid w:val="00000692"/>
    <w:rsid w:val="00002698"/>
    <w:rsid w:val="00004550"/>
    <w:rsid w:val="00004812"/>
    <w:rsid w:val="00004C86"/>
    <w:rsid w:val="000054EB"/>
    <w:rsid w:val="00005EE9"/>
    <w:rsid w:val="00007BCF"/>
    <w:rsid w:val="00012C3D"/>
    <w:rsid w:val="0001440C"/>
    <w:rsid w:val="000156A0"/>
    <w:rsid w:val="00016425"/>
    <w:rsid w:val="0001753D"/>
    <w:rsid w:val="000226F9"/>
    <w:rsid w:val="0002590B"/>
    <w:rsid w:val="00025CC2"/>
    <w:rsid w:val="000321EB"/>
    <w:rsid w:val="000339E3"/>
    <w:rsid w:val="00034850"/>
    <w:rsid w:val="00036E53"/>
    <w:rsid w:val="000472B8"/>
    <w:rsid w:val="000500E7"/>
    <w:rsid w:val="00051CF0"/>
    <w:rsid w:val="000569E7"/>
    <w:rsid w:val="000608D8"/>
    <w:rsid w:val="0006229E"/>
    <w:rsid w:val="000625CB"/>
    <w:rsid w:val="00064A09"/>
    <w:rsid w:val="00064B89"/>
    <w:rsid w:val="00066256"/>
    <w:rsid w:val="0006723F"/>
    <w:rsid w:val="000678EB"/>
    <w:rsid w:val="00070608"/>
    <w:rsid w:val="000736CF"/>
    <w:rsid w:val="00077BE2"/>
    <w:rsid w:val="00077E05"/>
    <w:rsid w:val="000800F9"/>
    <w:rsid w:val="00080303"/>
    <w:rsid w:val="00080A6A"/>
    <w:rsid w:val="0008130B"/>
    <w:rsid w:val="0008170C"/>
    <w:rsid w:val="000843A5"/>
    <w:rsid w:val="00086497"/>
    <w:rsid w:val="00090DDE"/>
    <w:rsid w:val="00096612"/>
    <w:rsid w:val="000A1233"/>
    <w:rsid w:val="000A1BE8"/>
    <w:rsid w:val="000A25DA"/>
    <w:rsid w:val="000B446B"/>
    <w:rsid w:val="000B580F"/>
    <w:rsid w:val="000B6BCB"/>
    <w:rsid w:val="000B74C9"/>
    <w:rsid w:val="000C025B"/>
    <w:rsid w:val="000D277E"/>
    <w:rsid w:val="000D3B11"/>
    <w:rsid w:val="000D3B77"/>
    <w:rsid w:val="000D6477"/>
    <w:rsid w:val="000D7986"/>
    <w:rsid w:val="000E2D0B"/>
    <w:rsid w:val="000E3CBE"/>
    <w:rsid w:val="000E58C0"/>
    <w:rsid w:val="000E7FE7"/>
    <w:rsid w:val="000F0FD7"/>
    <w:rsid w:val="000F109E"/>
    <w:rsid w:val="000F1920"/>
    <w:rsid w:val="000F1FF8"/>
    <w:rsid w:val="000F2003"/>
    <w:rsid w:val="000F4CD7"/>
    <w:rsid w:val="001015FA"/>
    <w:rsid w:val="00103628"/>
    <w:rsid w:val="001038F4"/>
    <w:rsid w:val="001070EA"/>
    <w:rsid w:val="00110422"/>
    <w:rsid w:val="00111D5F"/>
    <w:rsid w:val="0011203F"/>
    <w:rsid w:val="001209FF"/>
    <w:rsid w:val="00121592"/>
    <w:rsid w:val="00123DC9"/>
    <w:rsid w:val="001252FF"/>
    <w:rsid w:val="001268ED"/>
    <w:rsid w:val="001312D3"/>
    <w:rsid w:val="001340ED"/>
    <w:rsid w:val="00134464"/>
    <w:rsid w:val="001344D8"/>
    <w:rsid w:val="0013775D"/>
    <w:rsid w:val="00144BC6"/>
    <w:rsid w:val="0015205D"/>
    <w:rsid w:val="00152260"/>
    <w:rsid w:val="00152417"/>
    <w:rsid w:val="00152A33"/>
    <w:rsid w:val="00152A49"/>
    <w:rsid w:val="001559B0"/>
    <w:rsid w:val="00164BB9"/>
    <w:rsid w:val="00165938"/>
    <w:rsid w:val="00172485"/>
    <w:rsid w:val="001753BC"/>
    <w:rsid w:val="001763C7"/>
    <w:rsid w:val="00177AE5"/>
    <w:rsid w:val="00177F58"/>
    <w:rsid w:val="0018042B"/>
    <w:rsid w:val="00180E6E"/>
    <w:rsid w:val="00180EBF"/>
    <w:rsid w:val="0018220F"/>
    <w:rsid w:val="00185634"/>
    <w:rsid w:val="00187121"/>
    <w:rsid w:val="00187EED"/>
    <w:rsid w:val="00187EF9"/>
    <w:rsid w:val="00190341"/>
    <w:rsid w:val="00190FF6"/>
    <w:rsid w:val="00191E2B"/>
    <w:rsid w:val="00193021"/>
    <w:rsid w:val="001945BA"/>
    <w:rsid w:val="00195FAE"/>
    <w:rsid w:val="001A25FD"/>
    <w:rsid w:val="001A40C3"/>
    <w:rsid w:val="001A5AA9"/>
    <w:rsid w:val="001A6E44"/>
    <w:rsid w:val="001A7008"/>
    <w:rsid w:val="001B11C7"/>
    <w:rsid w:val="001B12F5"/>
    <w:rsid w:val="001B1801"/>
    <w:rsid w:val="001B5089"/>
    <w:rsid w:val="001B6344"/>
    <w:rsid w:val="001B7DF6"/>
    <w:rsid w:val="001C51F1"/>
    <w:rsid w:val="001C655C"/>
    <w:rsid w:val="001D0421"/>
    <w:rsid w:val="001D230B"/>
    <w:rsid w:val="001D5522"/>
    <w:rsid w:val="001D60CC"/>
    <w:rsid w:val="001D6FC6"/>
    <w:rsid w:val="001D720A"/>
    <w:rsid w:val="001E3D19"/>
    <w:rsid w:val="001E4EC6"/>
    <w:rsid w:val="001E4F79"/>
    <w:rsid w:val="001E5741"/>
    <w:rsid w:val="001F1902"/>
    <w:rsid w:val="001F2E69"/>
    <w:rsid w:val="001F6B40"/>
    <w:rsid w:val="001F73C3"/>
    <w:rsid w:val="001F7F55"/>
    <w:rsid w:val="00200D60"/>
    <w:rsid w:val="00202A38"/>
    <w:rsid w:val="00203E99"/>
    <w:rsid w:val="00203EEA"/>
    <w:rsid w:val="00211B83"/>
    <w:rsid w:val="00213311"/>
    <w:rsid w:val="002151E0"/>
    <w:rsid w:val="0022573D"/>
    <w:rsid w:val="00236C67"/>
    <w:rsid w:val="00237BDE"/>
    <w:rsid w:val="002413F3"/>
    <w:rsid w:val="002416EC"/>
    <w:rsid w:val="00242B2B"/>
    <w:rsid w:val="00247932"/>
    <w:rsid w:val="002503F9"/>
    <w:rsid w:val="00250A31"/>
    <w:rsid w:val="00250A69"/>
    <w:rsid w:val="00255124"/>
    <w:rsid w:val="00256D2E"/>
    <w:rsid w:val="0025761C"/>
    <w:rsid w:val="00260758"/>
    <w:rsid w:val="00262711"/>
    <w:rsid w:val="00265756"/>
    <w:rsid w:val="00266DB6"/>
    <w:rsid w:val="00270202"/>
    <w:rsid w:val="00272258"/>
    <w:rsid w:val="002778DB"/>
    <w:rsid w:val="0028204E"/>
    <w:rsid w:val="0028280E"/>
    <w:rsid w:val="002843FD"/>
    <w:rsid w:val="00291C15"/>
    <w:rsid w:val="002954C9"/>
    <w:rsid w:val="00296BEC"/>
    <w:rsid w:val="002A1DAD"/>
    <w:rsid w:val="002A2DA7"/>
    <w:rsid w:val="002A7E82"/>
    <w:rsid w:val="002B1C0E"/>
    <w:rsid w:val="002B419F"/>
    <w:rsid w:val="002B55B6"/>
    <w:rsid w:val="002B6B2C"/>
    <w:rsid w:val="002B7D49"/>
    <w:rsid w:val="002C13CB"/>
    <w:rsid w:val="002C19C6"/>
    <w:rsid w:val="002C276C"/>
    <w:rsid w:val="002C3F48"/>
    <w:rsid w:val="002C4190"/>
    <w:rsid w:val="002D2801"/>
    <w:rsid w:val="002D5290"/>
    <w:rsid w:val="002D6266"/>
    <w:rsid w:val="002D703E"/>
    <w:rsid w:val="002E3210"/>
    <w:rsid w:val="002E3661"/>
    <w:rsid w:val="002E594E"/>
    <w:rsid w:val="002E5CF2"/>
    <w:rsid w:val="002F3C72"/>
    <w:rsid w:val="002F57FA"/>
    <w:rsid w:val="002F583B"/>
    <w:rsid w:val="002F6C86"/>
    <w:rsid w:val="003007D9"/>
    <w:rsid w:val="003024DB"/>
    <w:rsid w:val="00305FC7"/>
    <w:rsid w:val="003074C1"/>
    <w:rsid w:val="003074ED"/>
    <w:rsid w:val="00307A2C"/>
    <w:rsid w:val="003105F6"/>
    <w:rsid w:val="003117E8"/>
    <w:rsid w:val="00313C99"/>
    <w:rsid w:val="00315AA4"/>
    <w:rsid w:val="00315C8B"/>
    <w:rsid w:val="00325739"/>
    <w:rsid w:val="00327317"/>
    <w:rsid w:val="00330B38"/>
    <w:rsid w:val="00331351"/>
    <w:rsid w:val="00331D41"/>
    <w:rsid w:val="003320DE"/>
    <w:rsid w:val="00332EEF"/>
    <w:rsid w:val="00332F36"/>
    <w:rsid w:val="00333224"/>
    <w:rsid w:val="00334AF1"/>
    <w:rsid w:val="0034010C"/>
    <w:rsid w:val="00341D90"/>
    <w:rsid w:val="00342E55"/>
    <w:rsid w:val="00345BE9"/>
    <w:rsid w:val="00347590"/>
    <w:rsid w:val="00347B9F"/>
    <w:rsid w:val="00351A3C"/>
    <w:rsid w:val="00352379"/>
    <w:rsid w:val="003545C0"/>
    <w:rsid w:val="00354CE9"/>
    <w:rsid w:val="003624C0"/>
    <w:rsid w:val="0036303B"/>
    <w:rsid w:val="00364731"/>
    <w:rsid w:val="003702E0"/>
    <w:rsid w:val="003726F8"/>
    <w:rsid w:val="00375FF3"/>
    <w:rsid w:val="0038058F"/>
    <w:rsid w:val="00380D93"/>
    <w:rsid w:val="00382B57"/>
    <w:rsid w:val="003841F7"/>
    <w:rsid w:val="0038441D"/>
    <w:rsid w:val="00386172"/>
    <w:rsid w:val="003913FD"/>
    <w:rsid w:val="003A1EE8"/>
    <w:rsid w:val="003A3A9B"/>
    <w:rsid w:val="003A3EE8"/>
    <w:rsid w:val="003A5150"/>
    <w:rsid w:val="003A7CB8"/>
    <w:rsid w:val="003B467B"/>
    <w:rsid w:val="003B4B79"/>
    <w:rsid w:val="003B4FA5"/>
    <w:rsid w:val="003B523F"/>
    <w:rsid w:val="003B54A4"/>
    <w:rsid w:val="003B5F6C"/>
    <w:rsid w:val="003B6488"/>
    <w:rsid w:val="003C1109"/>
    <w:rsid w:val="003C1469"/>
    <w:rsid w:val="003C3C92"/>
    <w:rsid w:val="003C5D98"/>
    <w:rsid w:val="003C70E8"/>
    <w:rsid w:val="003C7A71"/>
    <w:rsid w:val="003D043B"/>
    <w:rsid w:val="003D05F8"/>
    <w:rsid w:val="003D5188"/>
    <w:rsid w:val="003D5615"/>
    <w:rsid w:val="003D5683"/>
    <w:rsid w:val="003D5BD8"/>
    <w:rsid w:val="003D76DF"/>
    <w:rsid w:val="003E08D9"/>
    <w:rsid w:val="003E092C"/>
    <w:rsid w:val="003E0AA8"/>
    <w:rsid w:val="003E0DE1"/>
    <w:rsid w:val="003E2DA0"/>
    <w:rsid w:val="003E4371"/>
    <w:rsid w:val="003E66D4"/>
    <w:rsid w:val="003E79BB"/>
    <w:rsid w:val="003E7B77"/>
    <w:rsid w:val="003F13C2"/>
    <w:rsid w:val="003F23FE"/>
    <w:rsid w:val="003F511E"/>
    <w:rsid w:val="00403911"/>
    <w:rsid w:val="00403F7F"/>
    <w:rsid w:val="00410CC2"/>
    <w:rsid w:val="00410DFC"/>
    <w:rsid w:val="00414298"/>
    <w:rsid w:val="00415225"/>
    <w:rsid w:val="00415E7B"/>
    <w:rsid w:val="00417F93"/>
    <w:rsid w:val="00422EC8"/>
    <w:rsid w:val="004241F0"/>
    <w:rsid w:val="004243CA"/>
    <w:rsid w:val="004249D7"/>
    <w:rsid w:val="004251CB"/>
    <w:rsid w:val="00425D74"/>
    <w:rsid w:val="00427D4C"/>
    <w:rsid w:val="0043319A"/>
    <w:rsid w:val="00433C49"/>
    <w:rsid w:val="00433E94"/>
    <w:rsid w:val="004341A0"/>
    <w:rsid w:val="004377D1"/>
    <w:rsid w:val="0044029B"/>
    <w:rsid w:val="00440611"/>
    <w:rsid w:val="00444313"/>
    <w:rsid w:val="00445AC4"/>
    <w:rsid w:val="00447ED2"/>
    <w:rsid w:val="0045396E"/>
    <w:rsid w:val="00455887"/>
    <w:rsid w:val="00455C90"/>
    <w:rsid w:val="00456652"/>
    <w:rsid w:val="00457E80"/>
    <w:rsid w:val="00461740"/>
    <w:rsid w:val="0047654D"/>
    <w:rsid w:val="00477308"/>
    <w:rsid w:val="0048296B"/>
    <w:rsid w:val="00484CD0"/>
    <w:rsid w:val="004935B5"/>
    <w:rsid w:val="004941BD"/>
    <w:rsid w:val="004953AA"/>
    <w:rsid w:val="004967AA"/>
    <w:rsid w:val="004A0F03"/>
    <w:rsid w:val="004A3A20"/>
    <w:rsid w:val="004A3AEA"/>
    <w:rsid w:val="004A3EBD"/>
    <w:rsid w:val="004A4332"/>
    <w:rsid w:val="004B5132"/>
    <w:rsid w:val="004C61D1"/>
    <w:rsid w:val="004D0572"/>
    <w:rsid w:val="004D0A97"/>
    <w:rsid w:val="004D12DB"/>
    <w:rsid w:val="004D590E"/>
    <w:rsid w:val="004D78CF"/>
    <w:rsid w:val="004E1DC9"/>
    <w:rsid w:val="004E21BB"/>
    <w:rsid w:val="004E65AB"/>
    <w:rsid w:val="004F285D"/>
    <w:rsid w:val="004F33E3"/>
    <w:rsid w:val="004F5641"/>
    <w:rsid w:val="004F6617"/>
    <w:rsid w:val="00501326"/>
    <w:rsid w:val="00503F7C"/>
    <w:rsid w:val="005149F6"/>
    <w:rsid w:val="005152E6"/>
    <w:rsid w:val="00515AEA"/>
    <w:rsid w:val="00515F2A"/>
    <w:rsid w:val="0051789A"/>
    <w:rsid w:val="00517C29"/>
    <w:rsid w:val="005207CB"/>
    <w:rsid w:val="0052082D"/>
    <w:rsid w:val="0052243F"/>
    <w:rsid w:val="0052289A"/>
    <w:rsid w:val="0052654C"/>
    <w:rsid w:val="00526D94"/>
    <w:rsid w:val="00527FFA"/>
    <w:rsid w:val="00530305"/>
    <w:rsid w:val="005304CE"/>
    <w:rsid w:val="0053293E"/>
    <w:rsid w:val="00533FC6"/>
    <w:rsid w:val="00536229"/>
    <w:rsid w:val="005415E3"/>
    <w:rsid w:val="00544171"/>
    <w:rsid w:val="005472E7"/>
    <w:rsid w:val="00550ED9"/>
    <w:rsid w:val="0055463E"/>
    <w:rsid w:val="00554775"/>
    <w:rsid w:val="005565A3"/>
    <w:rsid w:val="00560605"/>
    <w:rsid w:val="005613F6"/>
    <w:rsid w:val="00561EEF"/>
    <w:rsid w:val="00565C88"/>
    <w:rsid w:val="005676DB"/>
    <w:rsid w:val="00571325"/>
    <w:rsid w:val="00572CC3"/>
    <w:rsid w:val="00574656"/>
    <w:rsid w:val="005757EF"/>
    <w:rsid w:val="00580224"/>
    <w:rsid w:val="00584D34"/>
    <w:rsid w:val="005864BF"/>
    <w:rsid w:val="00590B36"/>
    <w:rsid w:val="00590E77"/>
    <w:rsid w:val="005925E9"/>
    <w:rsid w:val="005946B8"/>
    <w:rsid w:val="0059473B"/>
    <w:rsid w:val="00597B0A"/>
    <w:rsid w:val="005A1F2F"/>
    <w:rsid w:val="005A2254"/>
    <w:rsid w:val="005A3F03"/>
    <w:rsid w:val="005B0FE6"/>
    <w:rsid w:val="005B2247"/>
    <w:rsid w:val="005B31B5"/>
    <w:rsid w:val="005B3DBD"/>
    <w:rsid w:val="005B7135"/>
    <w:rsid w:val="005C12FE"/>
    <w:rsid w:val="005C19B5"/>
    <w:rsid w:val="005C3F1F"/>
    <w:rsid w:val="005C44D8"/>
    <w:rsid w:val="005D02E6"/>
    <w:rsid w:val="005D0321"/>
    <w:rsid w:val="005D2349"/>
    <w:rsid w:val="005D50CE"/>
    <w:rsid w:val="005D613E"/>
    <w:rsid w:val="005D6344"/>
    <w:rsid w:val="005E1636"/>
    <w:rsid w:val="005E1E60"/>
    <w:rsid w:val="005E4C0E"/>
    <w:rsid w:val="005F0CAD"/>
    <w:rsid w:val="005F0E41"/>
    <w:rsid w:val="005F191A"/>
    <w:rsid w:val="005F3E99"/>
    <w:rsid w:val="005F4506"/>
    <w:rsid w:val="005F7EA5"/>
    <w:rsid w:val="00600281"/>
    <w:rsid w:val="0060108A"/>
    <w:rsid w:val="00612468"/>
    <w:rsid w:val="0061246E"/>
    <w:rsid w:val="00612FFA"/>
    <w:rsid w:val="0062151E"/>
    <w:rsid w:val="00621CC4"/>
    <w:rsid w:val="006274EE"/>
    <w:rsid w:val="00633A74"/>
    <w:rsid w:val="006400F7"/>
    <w:rsid w:val="00640B15"/>
    <w:rsid w:val="00642431"/>
    <w:rsid w:val="00642FFA"/>
    <w:rsid w:val="0064504D"/>
    <w:rsid w:val="006470AC"/>
    <w:rsid w:val="00651F05"/>
    <w:rsid w:val="00653A06"/>
    <w:rsid w:val="00654926"/>
    <w:rsid w:val="00655A81"/>
    <w:rsid w:val="00664624"/>
    <w:rsid w:val="00665847"/>
    <w:rsid w:val="00665861"/>
    <w:rsid w:val="00665C95"/>
    <w:rsid w:val="00665DDC"/>
    <w:rsid w:val="006716E2"/>
    <w:rsid w:val="006727BF"/>
    <w:rsid w:val="00672DEC"/>
    <w:rsid w:val="00672E20"/>
    <w:rsid w:val="00674578"/>
    <w:rsid w:val="006747AA"/>
    <w:rsid w:val="006832C2"/>
    <w:rsid w:val="006839F1"/>
    <w:rsid w:val="00683B78"/>
    <w:rsid w:val="0068592C"/>
    <w:rsid w:val="006864B9"/>
    <w:rsid w:val="00686A06"/>
    <w:rsid w:val="006875F6"/>
    <w:rsid w:val="006907BD"/>
    <w:rsid w:val="00693139"/>
    <w:rsid w:val="00695823"/>
    <w:rsid w:val="00697347"/>
    <w:rsid w:val="006A2591"/>
    <w:rsid w:val="006A39A4"/>
    <w:rsid w:val="006A3E26"/>
    <w:rsid w:val="006A54FF"/>
    <w:rsid w:val="006A77AE"/>
    <w:rsid w:val="006B0749"/>
    <w:rsid w:val="006B1B9F"/>
    <w:rsid w:val="006B3772"/>
    <w:rsid w:val="006B5E27"/>
    <w:rsid w:val="006B762E"/>
    <w:rsid w:val="006B7894"/>
    <w:rsid w:val="006C544C"/>
    <w:rsid w:val="006C5E15"/>
    <w:rsid w:val="006C743A"/>
    <w:rsid w:val="006D0180"/>
    <w:rsid w:val="006D4B23"/>
    <w:rsid w:val="006E0301"/>
    <w:rsid w:val="006E0C56"/>
    <w:rsid w:val="006E156F"/>
    <w:rsid w:val="006E1A43"/>
    <w:rsid w:val="006E3A6E"/>
    <w:rsid w:val="006E52E0"/>
    <w:rsid w:val="006F0AE6"/>
    <w:rsid w:val="006F3826"/>
    <w:rsid w:val="006F7516"/>
    <w:rsid w:val="0070096E"/>
    <w:rsid w:val="00701AEF"/>
    <w:rsid w:val="00702766"/>
    <w:rsid w:val="00703835"/>
    <w:rsid w:val="00710349"/>
    <w:rsid w:val="00710BEC"/>
    <w:rsid w:val="00714839"/>
    <w:rsid w:val="00715C30"/>
    <w:rsid w:val="007178DD"/>
    <w:rsid w:val="0072099A"/>
    <w:rsid w:val="007262CB"/>
    <w:rsid w:val="0072777D"/>
    <w:rsid w:val="0073208C"/>
    <w:rsid w:val="00732FAC"/>
    <w:rsid w:val="00734DFB"/>
    <w:rsid w:val="007350F1"/>
    <w:rsid w:val="00737A21"/>
    <w:rsid w:val="00750A6E"/>
    <w:rsid w:val="00750DC8"/>
    <w:rsid w:val="0075176E"/>
    <w:rsid w:val="00751977"/>
    <w:rsid w:val="007520B6"/>
    <w:rsid w:val="00753D75"/>
    <w:rsid w:val="007543C5"/>
    <w:rsid w:val="00755EF8"/>
    <w:rsid w:val="00762A01"/>
    <w:rsid w:val="00762EB3"/>
    <w:rsid w:val="007714D1"/>
    <w:rsid w:val="007730E6"/>
    <w:rsid w:val="00776F0C"/>
    <w:rsid w:val="00776FCC"/>
    <w:rsid w:val="007808F3"/>
    <w:rsid w:val="00786A61"/>
    <w:rsid w:val="00787024"/>
    <w:rsid w:val="007901D3"/>
    <w:rsid w:val="00792167"/>
    <w:rsid w:val="00794484"/>
    <w:rsid w:val="00795FB0"/>
    <w:rsid w:val="00796D6E"/>
    <w:rsid w:val="007A2363"/>
    <w:rsid w:val="007A3CF4"/>
    <w:rsid w:val="007A4C98"/>
    <w:rsid w:val="007A5873"/>
    <w:rsid w:val="007A78ED"/>
    <w:rsid w:val="007B317C"/>
    <w:rsid w:val="007B79B3"/>
    <w:rsid w:val="007C05DF"/>
    <w:rsid w:val="007C1FCE"/>
    <w:rsid w:val="007C47AB"/>
    <w:rsid w:val="007D527D"/>
    <w:rsid w:val="007D71BA"/>
    <w:rsid w:val="007E147D"/>
    <w:rsid w:val="007E43A8"/>
    <w:rsid w:val="007E471A"/>
    <w:rsid w:val="007E478E"/>
    <w:rsid w:val="007E53C5"/>
    <w:rsid w:val="007F59A2"/>
    <w:rsid w:val="007F5D14"/>
    <w:rsid w:val="007F6D41"/>
    <w:rsid w:val="007F7283"/>
    <w:rsid w:val="00806F79"/>
    <w:rsid w:val="008071B1"/>
    <w:rsid w:val="0080766B"/>
    <w:rsid w:val="00811B7B"/>
    <w:rsid w:val="00812023"/>
    <w:rsid w:val="008164AC"/>
    <w:rsid w:val="00817C3A"/>
    <w:rsid w:val="008225BA"/>
    <w:rsid w:val="00825872"/>
    <w:rsid w:val="008312D1"/>
    <w:rsid w:val="008316A5"/>
    <w:rsid w:val="00831D00"/>
    <w:rsid w:val="0083328F"/>
    <w:rsid w:val="00835385"/>
    <w:rsid w:val="008375E7"/>
    <w:rsid w:val="00837F5B"/>
    <w:rsid w:val="00840D7C"/>
    <w:rsid w:val="00841273"/>
    <w:rsid w:val="00841A3E"/>
    <w:rsid w:val="008422E3"/>
    <w:rsid w:val="008425B9"/>
    <w:rsid w:val="00842B42"/>
    <w:rsid w:val="008452EC"/>
    <w:rsid w:val="00845EC1"/>
    <w:rsid w:val="00846D79"/>
    <w:rsid w:val="0084740B"/>
    <w:rsid w:val="0084782B"/>
    <w:rsid w:val="00847971"/>
    <w:rsid w:val="00853A49"/>
    <w:rsid w:val="008544FA"/>
    <w:rsid w:val="008560CB"/>
    <w:rsid w:val="00856589"/>
    <w:rsid w:val="00857378"/>
    <w:rsid w:val="00857FE6"/>
    <w:rsid w:val="00860D07"/>
    <w:rsid w:val="00866065"/>
    <w:rsid w:val="0086694D"/>
    <w:rsid w:val="008736D3"/>
    <w:rsid w:val="00875432"/>
    <w:rsid w:val="00880BD9"/>
    <w:rsid w:val="00882539"/>
    <w:rsid w:val="00885CFD"/>
    <w:rsid w:val="00890E5D"/>
    <w:rsid w:val="00892814"/>
    <w:rsid w:val="00894D9E"/>
    <w:rsid w:val="00896746"/>
    <w:rsid w:val="008A0D22"/>
    <w:rsid w:val="008A4AB7"/>
    <w:rsid w:val="008A4DEB"/>
    <w:rsid w:val="008B085B"/>
    <w:rsid w:val="008B1AEA"/>
    <w:rsid w:val="008B3BFD"/>
    <w:rsid w:val="008B459E"/>
    <w:rsid w:val="008B7376"/>
    <w:rsid w:val="008B7DD4"/>
    <w:rsid w:val="008C0376"/>
    <w:rsid w:val="008C0B72"/>
    <w:rsid w:val="008C11BC"/>
    <w:rsid w:val="008D37B0"/>
    <w:rsid w:val="008D6DB7"/>
    <w:rsid w:val="008E3B1D"/>
    <w:rsid w:val="008F0130"/>
    <w:rsid w:val="008F0D16"/>
    <w:rsid w:val="008F2779"/>
    <w:rsid w:val="008F2F82"/>
    <w:rsid w:val="008F2FDB"/>
    <w:rsid w:val="008F3A83"/>
    <w:rsid w:val="008F6B48"/>
    <w:rsid w:val="00904BDF"/>
    <w:rsid w:val="00906FEB"/>
    <w:rsid w:val="00910F92"/>
    <w:rsid w:val="00911031"/>
    <w:rsid w:val="00912CCA"/>
    <w:rsid w:val="009134D2"/>
    <w:rsid w:val="0092341B"/>
    <w:rsid w:val="0092709A"/>
    <w:rsid w:val="0092733D"/>
    <w:rsid w:val="0093373A"/>
    <w:rsid w:val="00933CB3"/>
    <w:rsid w:val="0093521F"/>
    <w:rsid w:val="00936C38"/>
    <w:rsid w:val="00937285"/>
    <w:rsid w:val="0093734A"/>
    <w:rsid w:val="00937374"/>
    <w:rsid w:val="00937F8A"/>
    <w:rsid w:val="0094081E"/>
    <w:rsid w:val="009411B7"/>
    <w:rsid w:val="00943303"/>
    <w:rsid w:val="0094364C"/>
    <w:rsid w:val="00945254"/>
    <w:rsid w:val="009463E8"/>
    <w:rsid w:val="00952230"/>
    <w:rsid w:val="009562F5"/>
    <w:rsid w:val="009567AD"/>
    <w:rsid w:val="00956CA1"/>
    <w:rsid w:val="00961466"/>
    <w:rsid w:val="0096165B"/>
    <w:rsid w:val="009617B4"/>
    <w:rsid w:val="0096329B"/>
    <w:rsid w:val="00963F9E"/>
    <w:rsid w:val="00965F57"/>
    <w:rsid w:val="009662E1"/>
    <w:rsid w:val="0096776F"/>
    <w:rsid w:val="00967A5A"/>
    <w:rsid w:val="00970A35"/>
    <w:rsid w:val="009722E7"/>
    <w:rsid w:val="00973748"/>
    <w:rsid w:val="00973CB1"/>
    <w:rsid w:val="00973E31"/>
    <w:rsid w:val="0097468E"/>
    <w:rsid w:val="00977E8C"/>
    <w:rsid w:val="00984328"/>
    <w:rsid w:val="00984430"/>
    <w:rsid w:val="00986A4E"/>
    <w:rsid w:val="009870E4"/>
    <w:rsid w:val="00992A04"/>
    <w:rsid w:val="00995D3E"/>
    <w:rsid w:val="00996ED9"/>
    <w:rsid w:val="009977CC"/>
    <w:rsid w:val="009A2E9E"/>
    <w:rsid w:val="009A58E8"/>
    <w:rsid w:val="009B04A2"/>
    <w:rsid w:val="009B28A5"/>
    <w:rsid w:val="009C10DF"/>
    <w:rsid w:val="009C1320"/>
    <w:rsid w:val="009C1611"/>
    <w:rsid w:val="009D01E2"/>
    <w:rsid w:val="009D5C47"/>
    <w:rsid w:val="009D7EFB"/>
    <w:rsid w:val="009E2CDF"/>
    <w:rsid w:val="009E2D1C"/>
    <w:rsid w:val="009E3AF1"/>
    <w:rsid w:val="009E453B"/>
    <w:rsid w:val="009E556F"/>
    <w:rsid w:val="009E5688"/>
    <w:rsid w:val="009E6697"/>
    <w:rsid w:val="009F2E00"/>
    <w:rsid w:val="009F32B3"/>
    <w:rsid w:val="009F604B"/>
    <w:rsid w:val="00A000DE"/>
    <w:rsid w:val="00A01673"/>
    <w:rsid w:val="00A01E48"/>
    <w:rsid w:val="00A04FE8"/>
    <w:rsid w:val="00A0561C"/>
    <w:rsid w:val="00A11AFB"/>
    <w:rsid w:val="00A122F3"/>
    <w:rsid w:val="00A12B4F"/>
    <w:rsid w:val="00A12E91"/>
    <w:rsid w:val="00A13B5C"/>
    <w:rsid w:val="00A14DF0"/>
    <w:rsid w:val="00A14F0E"/>
    <w:rsid w:val="00A155B1"/>
    <w:rsid w:val="00A16210"/>
    <w:rsid w:val="00A164B1"/>
    <w:rsid w:val="00A20041"/>
    <w:rsid w:val="00A2025D"/>
    <w:rsid w:val="00A24141"/>
    <w:rsid w:val="00A261E4"/>
    <w:rsid w:val="00A27AE6"/>
    <w:rsid w:val="00A30605"/>
    <w:rsid w:val="00A35A9B"/>
    <w:rsid w:val="00A363D1"/>
    <w:rsid w:val="00A40B57"/>
    <w:rsid w:val="00A43932"/>
    <w:rsid w:val="00A441C9"/>
    <w:rsid w:val="00A505CE"/>
    <w:rsid w:val="00A50D01"/>
    <w:rsid w:val="00A53803"/>
    <w:rsid w:val="00A54EE7"/>
    <w:rsid w:val="00A57586"/>
    <w:rsid w:val="00A57EB4"/>
    <w:rsid w:val="00A63CDF"/>
    <w:rsid w:val="00A6505F"/>
    <w:rsid w:val="00A74DDF"/>
    <w:rsid w:val="00A771E7"/>
    <w:rsid w:val="00A7724E"/>
    <w:rsid w:val="00A77B3C"/>
    <w:rsid w:val="00A801AE"/>
    <w:rsid w:val="00A80691"/>
    <w:rsid w:val="00A8472C"/>
    <w:rsid w:val="00A8573A"/>
    <w:rsid w:val="00A90F96"/>
    <w:rsid w:val="00A97546"/>
    <w:rsid w:val="00AA27C5"/>
    <w:rsid w:val="00AA2E54"/>
    <w:rsid w:val="00AB08F9"/>
    <w:rsid w:val="00AB0F60"/>
    <w:rsid w:val="00AB14E8"/>
    <w:rsid w:val="00AB5083"/>
    <w:rsid w:val="00AB5BEF"/>
    <w:rsid w:val="00AB6330"/>
    <w:rsid w:val="00AD33E9"/>
    <w:rsid w:val="00AD4370"/>
    <w:rsid w:val="00AD68CF"/>
    <w:rsid w:val="00AE3691"/>
    <w:rsid w:val="00AE5BE1"/>
    <w:rsid w:val="00AF0C14"/>
    <w:rsid w:val="00AF2B96"/>
    <w:rsid w:val="00AF55CC"/>
    <w:rsid w:val="00AF6BC0"/>
    <w:rsid w:val="00AF735D"/>
    <w:rsid w:val="00B02F24"/>
    <w:rsid w:val="00B03113"/>
    <w:rsid w:val="00B04A55"/>
    <w:rsid w:val="00B06F96"/>
    <w:rsid w:val="00B103BF"/>
    <w:rsid w:val="00B105FF"/>
    <w:rsid w:val="00B10DC0"/>
    <w:rsid w:val="00B13E89"/>
    <w:rsid w:val="00B17FED"/>
    <w:rsid w:val="00B20304"/>
    <w:rsid w:val="00B22026"/>
    <w:rsid w:val="00B22966"/>
    <w:rsid w:val="00B23A07"/>
    <w:rsid w:val="00B23A60"/>
    <w:rsid w:val="00B273FC"/>
    <w:rsid w:val="00B301DC"/>
    <w:rsid w:val="00B319BA"/>
    <w:rsid w:val="00B32B9C"/>
    <w:rsid w:val="00B4293D"/>
    <w:rsid w:val="00B42BE0"/>
    <w:rsid w:val="00B43DE7"/>
    <w:rsid w:val="00B44C29"/>
    <w:rsid w:val="00B46187"/>
    <w:rsid w:val="00B46478"/>
    <w:rsid w:val="00B50F3B"/>
    <w:rsid w:val="00B52AB0"/>
    <w:rsid w:val="00B53AFE"/>
    <w:rsid w:val="00B54D91"/>
    <w:rsid w:val="00B57EB4"/>
    <w:rsid w:val="00B62A69"/>
    <w:rsid w:val="00B6490B"/>
    <w:rsid w:val="00B70811"/>
    <w:rsid w:val="00B75627"/>
    <w:rsid w:val="00B807F0"/>
    <w:rsid w:val="00B84964"/>
    <w:rsid w:val="00B91EDD"/>
    <w:rsid w:val="00B92AE9"/>
    <w:rsid w:val="00B939DC"/>
    <w:rsid w:val="00B95440"/>
    <w:rsid w:val="00BA11DE"/>
    <w:rsid w:val="00BA4DFE"/>
    <w:rsid w:val="00BA5824"/>
    <w:rsid w:val="00BA6B19"/>
    <w:rsid w:val="00BB0E83"/>
    <w:rsid w:val="00BB11AB"/>
    <w:rsid w:val="00BB26CA"/>
    <w:rsid w:val="00BB5528"/>
    <w:rsid w:val="00BB5F33"/>
    <w:rsid w:val="00BB73E4"/>
    <w:rsid w:val="00BC1D24"/>
    <w:rsid w:val="00BC30EF"/>
    <w:rsid w:val="00BC4B9E"/>
    <w:rsid w:val="00BC7F6F"/>
    <w:rsid w:val="00BD3C2A"/>
    <w:rsid w:val="00BD6856"/>
    <w:rsid w:val="00BE279A"/>
    <w:rsid w:val="00BE463F"/>
    <w:rsid w:val="00BE7445"/>
    <w:rsid w:val="00BE7A3A"/>
    <w:rsid w:val="00BF0554"/>
    <w:rsid w:val="00BF0715"/>
    <w:rsid w:val="00BF2BBC"/>
    <w:rsid w:val="00BF2CAF"/>
    <w:rsid w:val="00BF3FB9"/>
    <w:rsid w:val="00BF789C"/>
    <w:rsid w:val="00C02986"/>
    <w:rsid w:val="00C03F23"/>
    <w:rsid w:val="00C04444"/>
    <w:rsid w:val="00C1249F"/>
    <w:rsid w:val="00C13AA3"/>
    <w:rsid w:val="00C13B0D"/>
    <w:rsid w:val="00C13D3D"/>
    <w:rsid w:val="00C21872"/>
    <w:rsid w:val="00C224EB"/>
    <w:rsid w:val="00C23654"/>
    <w:rsid w:val="00C236C7"/>
    <w:rsid w:val="00C24DB2"/>
    <w:rsid w:val="00C25696"/>
    <w:rsid w:val="00C311EA"/>
    <w:rsid w:val="00C33033"/>
    <w:rsid w:val="00C33C4B"/>
    <w:rsid w:val="00C34E80"/>
    <w:rsid w:val="00C35168"/>
    <w:rsid w:val="00C356F3"/>
    <w:rsid w:val="00C37498"/>
    <w:rsid w:val="00C37CE5"/>
    <w:rsid w:val="00C41F0B"/>
    <w:rsid w:val="00C452FE"/>
    <w:rsid w:val="00C460E9"/>
    <w:rsid w:val="00C502EA"/>
    <w:rsid w:val="00C50D0D"/>
    <w:rsid w:val="00C53B61"/>
    <w:rsid w:val="00C53E31"/>
    <w:rsid w:val="00C56382"/>
    <w:rsid w:val="00C57C3B"/>
    <w:rsid w:val="00C57F1C"/>
    <w:rsid w:val="00C621D1"/>
    <w:rsid w:val="00C622B7"/>
    <w:rsid w:val="00C623CB"/>
    <w:rsid w:val="00C64913"/>
    <w:rsid w:val="00C67846"/>
    <w:rsid w:val="00C70B0C"/>
    <w:rsid w:val="00C71734"/>
    <w:rsid w:val="00C739D8"/>
    <w:rsid w:val="00C822B2"/>
    <w:rsid w:val="00C82B9A"/>
    <w:rsid w:val="00C847B9"/>
    <w:rsid w:val="00C90D53"/>
    <w:rsid w:val="00C9388C"/>
    <w:rsid w:val="00C94445"/>
    <w:rsid w:val="00C95381"/>
    <w:rsid w:val="00CA00F2"/>
    <w:rsid w:val="00CA0D25"/>
    <w:rsid w:val="00CA1710"/>
    <w:rsid w:val="00CA2CC8"/>
    <w:rsid w:val="00CA484C"/>
    <w:rsid w:val="00CA60D4"/>
    <w:rsid w:val="00CB22FE"/>
    <w:rsid w:val="00CB295C"/>
    <w:rsid w:val="00CB3BC1"/>
    <w:rsid w:val="00CB6214"/>
    <w:rsid w:val="00CB63FC"/>
    <w:rsid w:val="00CB6FE7"/>
    <w:rsid w:val="00CB716D"/>
    <w:rsid w:val="00CB776E"/>
    <w:rsid w:val="00CB7E4D"/>
    <w:rsid w:val="00CC06F8"/>
    <w:rsid w:val="00CC16DF"/>
    <w:rsid w:val="00CC77D4"/>
    <w:rsid w:val="00CC7C50"/>
    <w:rsid w:val="00CD46BB"/>
    <w:rsid w:val="00CD4BB6"/>
    <w:rsid w:val="00CE3797"/>
    <w:rsid w:val="00CE3E1D"/>
    <w:rsid w:val="00CE4636"/>
    <w:rsid w:val="00CE68C6"/>
    <w:rsid w:val="00CF3D2A"/>
    <w:rsid w:val="00CF4599"/>
    <w:rsid w:val="00CF6884"/>
    <w:rsid w:val="00D01095"/>
    <w:rsid w:val="00D02F8C"/>
    <w:rsid w:val="00D02FF7"/>
    <w:rsid w:val="00D0621A"/>
    <w:rsid w:val="00D06C60"/>
    <w:rsid w:val="00D12460"/>
    <w:rsid w:val="00D12EC4"/>
    <w:rsid w:val="00D13D88"/>
    <w:rsid w:val="00D17076"/>
    <w:rsid w:val="00D17A7A"/>
    <w:rsid w:val="00D2142F"/>
    <w:rsid w:val="00D2283A"/>
    <w:rsid w:val="00D24856"/>
    <w:rsid w:val="00D263E4"/>
    <w:rsid w:val="00D30CB8"/>
    <w:rsid w:val="00D42CD0"/>
    <w:rsid w:val="00D51194"/>
    <w:rsid w:val="00D5121E"/>
    <w:rsid w:val="00D52B4E"/>
    <w:rsid w:val="00D53963"/>
    <w:rsid w:val="00D54B40"/>
    <w:rsid w:val="00D56178"/>
    <w:rsid w:val="00D56CD4"/>
    <w:rsid w:val="00D57357"/>
    <w:rsid w:val="00D6156F"/>
    <w:rsid w:val="00D617E4"/>
    <w:rsid w:val="00D62628"/>
    <w:rsid w:val="00D634CA"/>
    <w:rsid w:val="00D64972"/>
    <w:rsid w:val="00D659D9"/>
    <w:rsid w:val="00D66078"/>
    <w:rsid w:val="00D774C6"/>
    <w:rsid w:val="00D77D53"/>
    <w:rsid w:val="00D814C6"/>
    <w:rsid w:val="00D81C6C"/>
    <w:rsid w:val="00D84050"/>
    <w:rsid w:val="00D84718"/>
    <w:rsid w:val="00D84E7D"/>
    <w:rsid w:val="00D96CE7"/>
    <w:rsid w:val="00DB11EF"/>
    <w:rsid w:val="00DB3DDB"/>
    <w:rsid w:val="00DB40AE"/>
    <w:rsid w:val="00DB5EE0"/>
    <w:rsid w:val="00DB79C1"/>
    <w:rsid w:val="00DC08BE"/>
    <w:rsid w:val="00DC41EB"/>
    <w:rsid w:val="00DC5483"/>
    <w:rsid w:val="00DC77BD"/>
    <w:rsid w:val="00DC77D6"/>
    <w:rsid w:val="00DC786F"/>
    <w:rsid w:val="00DD139E"/>
    <w:rsid w:val="00DD7E02"/>
    <w:rsid w:val="00DE5444"/>
    <w:rsid w:val="00DE64D7"/>
    <w:rsid w:val="00DE71A6"/>
    <w:rsid w:val="00DE7283"/>
    <w:rsid w:val="00DF0379"/>
    <w:rsid w:val="00DF03B0"/>
    <w:rsid w:val="00DF3139"/>
    <w:rsid w:val="00DF328A"/>
    <w:rsid w:val="00DF3312"/>
    <w:rsid w:val="00DF3F62"/>
    <w:rsid w:val="00DF7BDF"/>
    <w:rsid w:val="00E028CB"/>
    <w:rsid w:val="00E03F35"/>
    <w:rsid w:val="00E03FB1"/>
    <w:rsid w:val="00E067FA"/>
    <w:rsid w:val="00E1151D"/>
    <w:rsid w:val="00E11692"/>
    <w:rsid w:val="00E128EC"/>
    <w:rsid w:val="00E13DD4"/>
    <w:rsid w:val="00E13FA2"/>
    <w:rsid w:val="00E17078"/>
    <w:rsid w:val="00E17875"/>
    <w:rsid w:val="00E178D9"/>
    <w:rsid w:val="00E17B07"/>
    <w:rsid w:val="00E33A4A"/>
    <w:rsid w:val="00E34110"/>
    <w:rsid w:val="00E34141"/>
    <w:rsid w:val="00E3671D"/>
    <w:rsid w:val="00E37BE5"/>
    <w:rsid w:val="00E43953"/>
    <w:rsid w:val="00E44601"/>
    <w:rsid w:val="00E45A57"/>
    <w:rsid w:val="00E4624B"/>
    <w:rsid w:val="00E46714"/>
    <w:rsid w:val="00E47231"/>
    <w:rsid w:val="00E5165B"/>
    <w:rsid w:val="00E5412A"/>
    <w:rsid w:val="00E615AF"/>
    <w:rsid w:val="00E618F2"/>
    <w:rsid w:val="00E70265"/>
    <w:rsid w:val="00E77B8B"/>
    <w:rsid w:val="00E80458"/>
    <w:rsid w:val="00E82A43"/>
    <w:rsid w:val="00E831EB"/>
    <w:rsid w:val="00E83A20"/>
    <w:rsid w:val="00E86105"/>
    <w:rsid w:val="00E87416"/>
    <w:rsid w:val="00E87A6F"/>
    <w:rsid w:val="00E90D99"/>
    <w:rsid w:val="00E9206E"/>
    <w:rsid w:val="00E9338D"/>
    <w:rsid w:val="00E943C8"/>
    <w:rsid w:val="00E95657"/>
    <w:rsid w:val="00E962C9"/>
    <w:rsid w:val="00E97F1B"/>
    <w:rsid w:val="00EA47F7"/>
    <w:rsid w:val="00EA4F3C"/>
    <w:rsid w:val="00EA53E5"/>
    <w:rsid w:val="00EB0932"/>
    <w:rsid w:val="00EC0C6C"/>
    <w:rsid w:val="00EC1830"/>
    <w:rsid w:val="00EC1D7B"/>
    <w:rsid w:val="00EC1E5C"/>
    <w:rsid w:val="00EC4029"/>
    <w:rsid w:val="00EC60AD"/>
    <w:rsid w:val="00EC62FB"/>
    <w:rsid w:val="00ED4040"/>
    <w:rsid w:val="00EE0404"/>
    <w:rsid w:val="00EE1AF5"/>
    <w:rsid w:val="00EE2229"/>
    <w:rsid w:val="00EE738A"/>
    <w:rsid w:val="00EF2C1A"/>
    <w:rsid w:val="00EF56F5"/>
    <w:rsid w:val="00EF5E5C"/>
    <w:rsid w:val="00EF768D"/>
    <w:rsid w:val="00F01F7F"/>
    <w:rsid w:val="00F020D3"/>
    <w:rsid w:val="00F02E7B"/>
    <w:rsid w:val="00F0578B"/>
    <w:rsid w:val="00F05B69"/>
    <w:rsid w:val="00F0695B"/>
    <w:rsid w:val="00F1157E"/>
    <w:rsid w:val="00F11F68"/>
    <w:rsid w:val="00F15978"/>
    <w:rsid w:val="00F15B51"/>
    <w:rsid w:val="00F169B7"/>
    <w:rsid w:val="00F2257D"/>
    <w:rsid w:val="00F30EAD"/>
    <w:rsid w:val="00F411C5"/>
    <w:rsid w:val="00F45AFB"/>
    <w:rsid w:val="00F53F4C"/>
    <w:rsid w:val="00F6582A"/>
    <w:rsid w:val="00F702EC"/>
    <w:rsid w:val="00F713E2"/>
    <w:rsid w:val="00F753D2"/>
    <w:rsid w:val="00F8434A"/>
    <w:rsid w:val="00F84857"/>
    <w:rsid w:val="00F87757"/>
    <w:rsid w:val="00F907A5"/>
    <w:rsid w:val="00F91B05"/>
    <w:rsid w:val="00F937E6"/>
    <w:rsid w:val="00F93EE7"/>
    <w:rsid w:val="00F95060"/>
    <w:rsid w:val="00F96752"/>
    <w:rsid w:val="00FA0D84"/>
    <w:rsid w:val="00FA1885"/>
    <w:rsid w:val="00FA23F7"/>
    <w:rsid w:val="00FA3CFB"/>
    <w:rsid w:val="00FA5915"/>
    <w:rsid w:val="00FA71A9"/>
    <w:rsid w:val="00FB0DA5"/>
    <w:rsid w:val="00FB405A"/>
    <w:rsid w:val="00FB412D"/>
    <w:rsid w:val="00FB63D8"/>
    <w:rsid w:val="00FB65D8"/>
    <w:rsid w:val="00FC019F"/>
    <w:rsid w:val="00FC0C49"/>
    <w:rsid w:val="00FC4990"/>
    <w:rsid w:val="00FC679C"/>
    <w:rsid w:val="00FC6BB9"/>
    <w:rsid w:val="00FC7203"/>
    <w:rsid w:val="00FC72C3"/>
    <w:rsid w:val="00FD10DD"/>
    <w:rsid w:val="00FD17C7"/>
    <w:rsid w:val="00FD39E3"/>
    <w:rsid w:val="00FD4D1C"/>
    <w:rsid w:val="00FD6041"/>
    <w:rsid w:val="00FD63E2"/>
    <w:rsid w:val="00FD7503"/>
    <w:rsid w:val="00FE1367"/>
    <w:rsid w:val="00FE22D8"/>
    <w:rsid w:val="00FE22FF"/>
    <w:rsid w:val="00FE3BB0"/>
    <w:rsid w:val="00FE6F9E"/>
    <w:rsid w:val="00FF018A"/>
    <w:rsid w:val="00FF1BC8"/>
    <w:rsid w:val="00FF6BBC"/>
    <w:rsid w:val="00FF707D"/>
    <w:rsid w:val="00FF789A"/>
    <w:rsid w:val="00FF792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34830"/>
  <w15:docId w15:val="{A8C3ACA0-A7BE-4CFA-817D-3A8A9DEC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7B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847B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47B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47B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847B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47B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47B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47B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47B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47B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47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4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847B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847B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47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47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47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47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47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link w:val="BezmezerChar"/>
    <w:uiPriority w:val="1"/>
    <w:qFormat/>
    <w:rsid w:val="00C847B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847B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7B9"/>
  </w:style>
  <w:style w:type="paragraph" w:styleId="Zpat">
    <w:name w:val="footer"/>
    <w:aliases w:val=" Char,Char"/>
    <w:basedOn w:val="Normln"/>
    <w:link w:val="ZpatChar"/>
    <w:uiPriority w:val="99"/>
    <w:unhideWhenUsed/>
    <w:rsid w:val="00C8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aliases w:val=" Char Char,Char Char"/>
    <w:basedOn w:val="Standardnpsmoodstavce"/>
    <w:link w:val="Zpat"/>
    <w:uiPriority w:val="99"/>
    <w:rsid w:val="00C847B9"/>
  </w:style>
  <w:style w:type="paragraph" w:styleId="Odstavecseseznamem">
    <w:name w:val="List Paragraph"/>
    <w:basedOn w:val="Normln"/>
    <w:link w:val="OdstavecseseznamemChar"/>
    <w:uiPriority w:val="34"/>
    <w:qFormat/>
    <w:rsid w:val="00C847B9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847B9"/>
    <w:pPr>
      <w:numPr>
        <w:numId w:val="0"/>
      </w:num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847B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47B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47B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847B9"/>
    <w:rPr>
      <w:color w:val="0563C1" w:themeColor="hyperlink"/>
      <w:u w:val="single"/>
    </w:rPr>
  </w:style>
  <w:style w:type="paragraph" w:customStyle="1" w:styleId="xText">
    <w:name w:val="xText"/>
    <w:basedOn w:val="Normln"/>
    <w:qFormat/>
    <w:rsid w:val="00C847B9"/>
    <w:pPr>
      <w:spacing w:before="120" w:after="60" w:line="288" w:lineRule="auto"/>
      <w:jc w:val="both"/>
    </w:pPr>
    <w:rPr>
      <w:rFonts w:ascii="Arial" w:eastAsia="Times New Roman" w:hAnsi="Arial" w:cs="Times New Roman"/>
      <w:noProof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C847B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C847B9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unhideWhenUsed/>
    <w:rsid w:val="00C847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7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847B9"/>
    <w:rPr>
      <w:vertAlign w:val="superscript"/>
    </w:rPr>
  </w:style>
  <w:style w:type="table" w:styleId="Mkatabulky">
    <w:name w:val="Table Grid"/>
    <w:basedOn w:val="Normlntabulka"/>
    <w:uiPriority w:val="59"/>
    <w:rsid w:val="00C8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Bullet">
    <w:name w:val="xBullet"/>
    <w:basedOn w:val="xText"/>
    <w:qFormat/>
    <w:rsid w:val="00C847B9"/>
    <w:pPr>
      <w:numPr>
        <w:numId w:val="4"/>
      </w:numPr>
      <w:spacing w:before="60"/>
    </w:pPr>
  </w:style>
  <w:style w:type="character" w:styleId="Odkaznakoment">
    <w:name w:val="annotation reference"/>
    <w:basedOn w:val="Standardnpsmoodstavce"/>
    <w:uiPriority w:val="99"/>
    <w:semiHidden/>
    <w:unhideWhenUsed/>
    <w:rsid w:val="00C847B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847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47B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7B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7B9"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C847B9"/>
    <w:rPr>
      <w:b/>
      <w:bCs/>
      <w:sz w:val="20"/>
      <w:szCs w:val="20"/>
    </w:rPr>
  </w:style>
  <w:style w:type="paragraph" w:customStyle="1" w:styleId="TitlePageHeader">
    <w:name w:val="TitlePage_Header"/>
    <w:basedOn w:val="Normln"/>
    <w:rsid w:val="00C847B9"/>
    <w:pPr>
      <w:spacing w:before="240" w:after="240" w:line="240" w:lineRule="auto"/>
      <w:ind w:left="3240" w:firstLine="720"/>
      <w:jc w:val="both"/>
    </w:pPr>
    <w:rPr>
      <w:rFonts w:ascii="Futura Bk" w:eastAsia="Times New Roman" w:hAnsi="Futura Bk" w:cs="Times New Roman"/>
      <w:b/>
      <w:sz w:val="32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C847B9"/>
    <w:pPr>
      <w:spacing w:after="100"/>
      <w:ind w:left="660"/>
    </w:pPr>
  </w:style>
  <w:style w:type="paragraph" w:customStyle="1" w:styleId="xl65">
    <w:name w:val="xl65"/>
    <w:basedOn w:val="Normln"/>
    <w:rsid w:val="00C8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Svtlstnovn1">
    <w:name w:val="Světlé stínování1"/>
    <w:basedOn w:val="Normlntabulka"/>
    <w:uiPriority w:val="60"/>
    <w:rsid w:val="00C847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C847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47B9"/>
    <w:rPr>
      <w:i/>
      <w:iCs/>
      <w:color w:val="5B9BD5" w:themeColor="accent1"/>
    </w:rPr>
  </w:style>
  <w:style w:type="character" w:customStyle="1" w:styleId="WW8Num23z0">
    <w:name w:val="WW8Num23z0"/>
    <w:rsid w:val="00C847B9"/>
    <w:rPr>
      <w:rFonts w:ascii="Symbol" w:hAnsi="Symbol"/>
      <w:b w:val="0"/>
      <w:i w:val="0"/>
      <w:sz w:val="19"/>
    </w:rPr>
  </w:style>
  <w:style w:type="paragraph" w:styleId="Revize">
    <w:name w:val="Revision"/>
    <w:hidden/>
    <w:uiPriority w:val="99"/>
    <w:semiHidden/>
    <w:rsid w:val="00C847B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C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ulkasmkou4zvraznn51">
    <w:name w:val="Tabulka s mřížkou 4 – zvýraznění 51"/>
    <w:basedOn w:val="Normlntabulka"/>
    <w:uiPriority w:val="49"/>
    <w:rsid w:val="00C236C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5B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77D53"/>
    <w:rPr>
      <w:b/>
      <w:bCs/>
      <w:color w:val="333333"/>
    </w:rPr>
  </w:style>
  <w:style w:type="table" w:customStyle="1" w:styleId="Prosttabulka31">
    <w:name w:val="Prostá tabulka 31"/>
    <w:basedOn w:val="Normlntabulka"/>
    <w:uiPriority w:val="43"/>
    <w:rsid w:val="00417F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Zkladntext0">
    <w:name w:val="T_Základní text 0"/>
    <w:basedOn w:val="Normln"/>
    <w:rsid w:val="001D5522"/>
    <w:pPr>
      <w:spacing w:after="0" w:line="240" w:lineRule="auto"/>
    </w:pPr>
    <w:rPr>
      <w:rFonts w:ascii="Calibri" w:hAnsi="Calibri" w:cs="Calibri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3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83B78"/>
    <w:rPr>
      <w:color w:val="954F72" w:themeColor="followedHyperlink"/>
      <w:u w:val="single"/>
    </w:rPr>
  </w:style>
  <w:style w:type="paragraph" w:customStyle="1" w:styleId="Normal1">
    <w:name w:val="Normal 1"/>
    <w:basedOn w:val="Normln"/>
    <w:rsid w:val="00265756"/>
    <w:pPr>
      <w:spacing w:before="120" w:after="120" w:line="240" w:lineRule="auto"/>
      <w:ind w:left="1418" w:right="22"/>
      <w:jc w:val="both"/>
    </w:pPr>
    <w:rPr>
      <w:rFonts w:ascii="Futura Bk" w:eastAsia="Times New Roman" w:hAnsi="Futura Bk" w:cs="Times New Roman"/>
      <w:sz w:val="20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5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7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n.nipez.cz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en.nipez.cz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-vz.cz/cs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hyperlink" Target="http://nenkomfortne.cz/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http://www.mmr.cz" TargetMode="Externa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n.nipez.cz/UzivatelskeInformace/UzivatelskePriruck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aha.mmr.cz\dfs\M\kolste\Pr&#225;ce-%20&#250;koly\1.)%20Mark&#233;ta\Zpr&#225;va%20fungov&#225;n&#237;%20NEN\grafy%2012.2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aha.mmr.cz\dfs\M\kolste\Pr&#225;ce-%20&#250;koly\1.)%20Mark&#233;ta\Zpr&#225;va%20fungov&#225;n&#237;%20NEN\grafy%2012.2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aha.mmr.cz\dfs\M\kolste\Pr&#225;ce-%20&#250;koly\1.)%20Mark&#233;ta\Zpr&#225;va%20fungov&#225;n&#237;%20NEN\grafy%2012.2.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aha.mmr.cz\dfs\M\kolste\Pr&#225;ce-%20&#250;koly\1.)%20Mark&#233;ta\Zpr&#225;va%20fungov&#225;n&#237;%20NEN\grafy%2012.2.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lste\AppData\Local\Microsoft\Windows\INetCache\Content.Outlook\9F5CT31Z\Finan&#269;n&#237;%20objem%20VZ%20ke%20zpr&#225;v&#283;%20NEN%202019%20(1)%20(1)%20(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aha.mmr.cz\dfs\N\odbor32\32\Odd&#283;len&#237;%20323%20-%20OSNET\11.%20NEN\20.%20SPR&#193;VCE%20NEN\14.%20Zpr&#225;va%20o%20fungov&#225;n&#237;%20NEN\2020\Statistiky\Finan&#269;n&#237;%20objem%20VZ%20ke%20zpr&#225;v&#283;%20NEN%202019%20(1)%20(1)%20(1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0"/>
              <a:t>Počet</a:t>
            </a:r>
            <a:r>
              <a:rPr lang="cs-CZ" sz="1200" b="0" baseline="0"/>
              <a:t> přijatých požadavků v SD</a:t>
            </a:r>
            <a:endParaRPr lang="cs-CZ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List1!$B$123:$B$126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List1!$C$123:$C$126</c:f>
              <c:numCache>
                <c:formatCode>General</c:formatCode>
                <c:ptCount val="4"/>
                <c:pt idx="0">
                  <c:v>3781</c:v>
                </c:pt>
                <c:pt idx="1">
                  <c:v>17708</c:v>
                </c:pt>
                <c:pt idx="2">
                  <c:v>30104</c:v>
                </c:pt>
                <c:pt idx="3">
                  <c:v>32274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33-4CFA-A2DE-29E2A8D1251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7142400"/>
        <c:axId val="327140104"/>
      </c:lineChart>
      <c:catAx>
        <c:axId val="32714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7140104"/>
        <c:crosses val="autoZero"/>
        <c:auto val="1"/>
        <c:lblAlgn val="ctr"/>
        <c:lblOffset val="100"/>
        <c:noMultiLvlLbl val="0"/>
      </c:catAx>
      <c:valAx>
        <c:axId val="327140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714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Počet zadavatelů registrovaných v NEN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List1!$B$5:$B$8</c:f>
              <c:strCache>
                <c:ptCount val="4"/>
                <c:pt idx="0">
                  <c:v>Počet zadavatelů ke konci roku 2016</c:v>
                </c:pt>
                <c:pt idx="1">
                  <c:v>Počet zadavatelů ke konci roku 2017</c:v>
                </c:pt>
                <c:pt idx="2">
                  <c:v>Počet zadavatelů ke konci roku 2018</c:v>
                </c:pt>
                <c:pt idx="3">
                  <c:v>Počet zadavatelů ke konci roku 2019</c:v>
                </c:pt>
              </c:strCache>
            </c:strRef>
          </c:cat>
          <c:val>
            <c:numRef>
              <c:f>List1!$C$5:$C$8</c:f>
              <c:numCache>
                <c:formatCode>General</c:formatCode>
                <c:ptCount val="4"/>
                <c:pt idx="0">
                  <c:v>333</c:v>
                </c:pt>
                <c:pt idx="1">
                  <c:v>560</c:v>
                </c:pt>
                <c:pt idx="2">
                  <c:v>978</c:v>
                </c:pt>
                <c:pt idx="3">
                  <c:v>1509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20-4E3F-91BB-E9F7154FD4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47438608"/>
        <c:axId val="447440904"/>
      </c:barChart>
      <c:catAx>
        <c:axId val="44743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47440904"/>
        <c:crosses val="autoZero"/>
        <c:auto val="1"/>
        <c:lblAlgn val="ctr"/>
        <c:lblOffset val="100"/>
        <c:noMultiLvlLbl val="0"/>
      </c:catAx>
      <c:valAx>
        <c:axId val="447440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47438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Počet dodavatelů registrovaných v NEN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4065016232351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650-418A-8C47-811564446F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List1!$B$28:$B$31</c:f>
              <c:strCache>
                <c:ptCount val="4"/>
                <c:pt idx="0">
                  <c:v>Počet dodavatelů ke konci roku 2016</c:v>
                </c:pt>
                <c:pt idx="1">
                  <c:v>Počet dodavatelů ke konci roku 2017</c:v>
                </c:pt>
                <c:pt idx="2">
                  <c:v>Počet dodavatelů ke konci roku 2018</c:v>
                </c:pt>
                <c:pt idx="3">
                  <c:v>Počet dodavatelů ke konci roku 2019</c:v>
                </c:pt>
              </c:strCache>
            </c:strRef>
          </c:cat>
          <c:val>
            <c:numRef>
              <c:f>List1!$C$28:$C$31</c:f>
              <c:numCache>
                <c:formatCode>General</c:formatCode>
                <c:ptCount val="4"/>
                <c:pt idx="0">
                  <c:v>584</c:v>
                </c:pt>
                <c:pt idx="1">
                  <c:v>3896</c:v>
                </c:pt>
                <c:pt idx="2">
                  <c:v>8972</c:v>
                </c:pt>
                <c:pt idx="3">
                  <c:v>13555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50-418A-8C47-811564446F5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388648"/>
        <c:axId val="38384712"/>
      </c:barChart>
      <c:catAx>
        <c:axId val="38388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384712"/>
        <c:crosses val="autoZero"/>
        <c:auto val="1"/>
        <c:lblAlgn val="ctr"/>
        <c:lblOffset val="100"/>
        <c:noMultiLvlLbl val="0"/>
      </c:catAx>
      <c:valAx>
        <c:axId val="38384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388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Počet uživatelů NEN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437781360066642E-17"/>
                  <c:y val="1.1987349745837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07D-4B9E-A728-102B018834F0}"/>
                </c:ext>
              </c:extLst>
            </c:dLbl>
            <c:dLbl>
              <c:idx val="1"/>
              <c:layout>
                <c:manualLayout>
                  <c:x val="0"/>
                  <c:y val="1.46284548439542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CC3-4CB8-8D19-F11DE6CDEC68}"/>
                </c:ext>
              </c:extLst>
            </c:dLbl>
            <c:dLbl>
              <c:idx val="2"/>
              <c:layout>
                <c:manualLayout>
                  <c:x val="-8.0408427840126275E-17"/>
                  <c:y val="2.03929569532553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CC3-4CB8-8D19-F11DE6CDEC68}"/>
                </c:ext>
              </c:extLst>
            </c:dLbl>
            <c:dLbl>
              <c:idx val="3"/>
              <c:layout>
                <c:manualLayout>
                  <c:x val="-1.6081685568025255E-16"/>
                  <c:y val="9.32725514573836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CC3-4CB8-8D19-F11DE6CDEC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List1!$B$51:$B$54</c:f>
              <c:strCache>
                <c:ptCount val="4"/>
                <c:pt idx="0">
                  <c:v>Počet uživatelů ke konci roku 2016</c:v>
                </c:pt>
                <c:pt idx="1">
                  <c:v>Počet uživatelů ke konci roku 2017</c:v>
                </c:pt>
                <c:pt idx="2">
                  <c:v>Počet uživatelů ke konci roku 2018</c:v>
                </c:pt>
                <c:pt idx="3">
                  <c:v>Počet uživatelů ke konci roku 2019</c:v>
                </c:pt>
              </c:strCache>
            </c:strRef>
          </c:cat>
          <c:val>
            <c:numRef>
              <c:f>List1!$C$51:$C$54</c:f>
              <c:numCache>
                <c:formatCode>General</c:formatCode>
                <c:ptCount val="4"/>
                <c:pt idx="0">
                  <c:v>2217</c:v>
                </c:pt>
                <c:pt idx="1">
                  <c:v>10052</c:v>
                </c:pt>
                <c:pt idx="2">
                  <c:v>20916</c:v>
                </c:pt>
                <c:pt idx="3">
                  <c:v>29304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7D-4B9E-A728-102B018834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1115992"/>
        <c:axId val="411115336"/>
      </c:barChart>
      <c:catAx>
        <c:axId val="411115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1115336"/>
        <c:crosses val="autoZero"/>
        <c:auto val="1"/>
        <c:lblAlgn val="ctr"/>
        <c:lblOffset val="100"/>
        <c:noMultiLvlLbl val="0"/>
      </c:catAx>
      <c:valAx>
        <c:axId val="411115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1115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ZJEDNODUŠENÝ PRŮCHOD - ZADANÉ VZ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List1!$A$5:$A$16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List1!$C$5:$C$16</c:f>
              <c:numCache>
                <c:formatCode>#,##0</c:formatCode>
                <c:ptCount val="12"/>
                <c:pt idx="0">
                  <c:v>627</c:v>
                </c:pt>
                <c:pt idx="1">
                  <c:v>677</c:v>
                </c:pt>
                <c:pt idx="2">
                  <c:v>819</c:v>
                </c:pt>
                <c:pt idx="3">
                  <c:v>795</c:v>
                </c:pt>
                <c:pt idx="4">
                  <c:v>808</c:v>
                </c:pt>
                <c:pt idx="5">
                  <c:v>747</c:v>
                </c:pt>
                <c:pt idx="6">
                  <c:v>751</c:v>
                </c:pt>
                <c:pt idx="7">
                  <c:v>660</c:v>
                </c:pt>
                <c:pt idx="8">
                  <c:v>618</c:v>
                </c:pt>
                <c:pt idx="9">
                  <c:v>674</c:v>
                </c:pt>
                <c:pt idx="10">
                  <c:v>570</c:v>
                </c:pt>
                <c:pt idx="11">
                  <c:v>239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46-40BF-8614-912E4715732C}"/>
            </c:ext>
          </c:extLst>
        </c:ser>
        <c:ser>
          <c:idx val="1"/>
          <c:order val="1"/>
          <c:tx>
            <c:v>S PRŮVODCEM - ZADANÉ VZ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List1!$A$5:$A$16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List1!$E$5:$E$16</c:f>
              <c:numCache>
                <c:formatCode>#,##0</c:formatCode>
                <c:ptCount val="12"/>
                <c:pt idx="0">
                  <c:v>1026</c:v>
                </c:pt>
                <c:pt idx="1">
                  <c:v>1313</c:v>
                </c:pt>
                <c:pt idx="2">
                  <c:v>1518</c:v>
                </c:pt>
                <c:pt idx="3">
                  <c:v>1511</c:v>
                </c:pt>
                <c:pt idx="4">
                  <c:v>1611</c:v>
                </c:pt>
                <c:pt idx="5">
                  <c:v>1310</c:v>
                </c:pt>
                <c:pt idx="6">
                  <c:v>1345</c:v>
                </c:pt>
                <c:pt idx="7">
                  <c:v>1283</c:v>
                </c:pt>
                <c:pt idx="8">
                  <c:v>1457</c:v>
                </c:pt>
                <c:pt idx="9">
                  <c:v>1587</c:v>
                </c:pt>
                <c:pt idx="10">
                  <c:v>1089</c:v>
                </c:pt>
                <c:pt idx="11">
                  <c:v>424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46-40BF-8614-912E471573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8818128"/>
        <c:axId val="418824032"/>
      </c:lineChart>
      <c:catAx>
        <c:axId val="41881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8824032"/>
        <c:crosses val="autoZero"/>
        <c:auto val="1"/>
        <c:lblAlgn val="ctr"/>
        <c:lblOffset val="100"/>
        <c:noMultiLvlLbl val="0"/>
      </c:catAx>
      <c:valAx>
        <c:axId val="41882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8818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POVINNÉ</a:t>
            </a:r>
            <a:r>
              <a:rPr lang="cs-CZ" baseline="0"/>
              <a:t> VYUŽÍVÁNÍ NEN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List1!$B$23</c:f>
              <c:strCache>
                <c:ptCount val="1"/>
                <c:pt idx="0">
                  <c:v>s průvodcem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List1!$A$24:$A$25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List1!$B$24:$B$25</c:f>
              <c:numCache>
                <c:formatCode>General</c:formatCode>
                <c:ptCount val="2"/>
                <c:pt idx="0">
                  <c:v>11915</c:v>
                </c:pt>
                <c:pt idx="1">
                  <c:v>15474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59-4EE0-87E2-9B7DA006A1DF}"/>
            </c:ext>
          </c:extLst>
        </c:ser>
        <c:ser>
          <c:idx val="1"/>
          <c:order val="1"/>
          <c:tx>
            <c:strRef>
              <c:f>List1!$C$23</c:f>
              <c:strCache>
                <c:ptCount val="1"/>
                <c:pt idx="0">
                  <c:v>zjednodušený průchod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List1!$A$24:$A$25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List1!$C$24:$C$25</c:f>
              <c:numCache>
                <c:formatCode>General</c:formatCode>
                <c:ptCount val="2"/>
                <c:pt idx="0">
                  <c:v>9751</c:v>
                </c:pt>
                <c:pt idx="1">
                  <c:v>7985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59-4EE0-87E2-9B7DA006A1D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31554928"/>
        <c:axId val="431555256"/>
      </c:barChart>
      <c:catAx>
        <c:axId val="43155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1555256"/>
        <c:crosses val="autoZero"/>
        <c:auto val="1"/>
        <c:lblAlgn val="ctr"/>
        <c:lblOffset val="100"/>
        <c:noMultiLvlLbl val="0"/>
      </c:catAx>
      <c:valAx>
        <c:axId val="431555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155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List1!$J$4</c:f>
              <c:strCache>
                <c:ptCount val="1"/>
                <c:pt idx="0">
                  <c:v>VZMR 2019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List1!$J$5:$J$16</c:f>
              <c:numCache>
                <c:formatCode>#,##0</c:formatCode>
                <c:ptCount val="12"/>
                <c:pt idx="0">
                  <c:v>987</c:v>
                </c:pt>
                <c:pt idx="1">
                  <c:v>1228</c:v>
                </c:pt>
                <c:pt idx="2">
                  <c:v>1349</c:v>
                </c:pt>
                <c:pt idx="3">
                  <c:v>1311</c:v>
                </c:pt>
                <c:pt idx="4">
                  <c:v>1378</c:v>
                </c:pt>
                <c:pt idx="5">
                  <c:v>1102</c:v>
                </c:pt>
                <c:pt idx="6">
                  <c:v>1162</c:v>
                </c:pt>
                <c:pt idx="7">
                  <c:v>1051</c:v>
                </c:pt>
                <c:pt idx="8">
                  <c:v>1208</c:v>
                </c:pt>
                <c:pt idx="9">
                  <c:v>1253</c:v>
                </c:pt>
                <c:pt idx="10">
                  <c:v>942</c:v>
                </c:pt>
                <c:pt idx="11">
                  <c:v>408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FB-4142-ABDB-0958A262B5D5}"/>
            </c:ext>
          </c:extLst>
        </c:ser>
        <c:ser>
          <c:idx val="2"/>
          <c:order val="1"/>
          <c:tx>
            <c:strRef>
              <c:f>List1!$K$4</c:f>
              <c:strCache>
                <c:ptCount val="1"/>
                <c:pt idx="0">
                  <c:v>VZMR 2018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List1!$K$5:$K$16</c:f>
              <c:numCache>
                <c:formatCode>#,##0</c:formatCode>
                <c:ptCount val="12"/>
                <c:pt idx="0">
                  <c:v>714</c:v>
                </c:pt>
                <c:pt idx="1">
                  <c:v>764</c:v>
                </c:pt>
                <c:pt idx="2">
                  <c:v>1006</c:v>
                </c:pt>
                <c:pt idx="3">
                  <c:v>1175</c:v>
                </c:pt>
                <c:pt idx="4">
                  <c:v>1561</c:v>
                </c:pt>
                <c:pt idx="5">
                  <c:v>1919</c:v>
                </c:pt>
                <c:pt idx="6">
                  <c:v>1672</c:v>
                </c:pt>
                <c:pt idx="7">
                  <c:v>1907</c:v>
                </c:pt>
                <c:pt idx="8">
                  <c:v>1922</c:v>
                </c:pt>
                <c:pt idx="9">
                  <c:v>2699</c:v>
                </c:pt>
                <c:pt idx="10">
                  <c:v>1974</c:v>
                </c:pt>
                <c:pt idx="11">
                  <c:v>613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FB-4142-ABDB-0958A262B5D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0701128"/>
        <c:axId val="430699488"/>
      </c:lineChart>
      <c:catAx>
        <c:axId val="430701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0699488"/>
        <c:crosses val="autoZero"/>
        <c:auto val="1"/>
        <c:lblAlgn val="ctr"/>
        <c:lblOffset val="100"/>
        <c:noMultiLvlLbl val="0"/>
      </c:catAx>
      <c:valAx>
        <c:axId val="4306994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30701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608E-EF4E-4CAB-A95D-4DDBECE5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4473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Ségl Jan</dc:creator>
  <cp:lastModifiedBy>Ségl Jan</cp:lastModifiedBy>
  <cp:revision>13</cp:revision>
  <cp:lastPrinted>2020-02-21T12:24:00Z</cp:lastPrinted>
  <dcterms:created xsi:type="dcterms:W3CDTF">2020-04-03T06:54:00Z</dcterms:created>
  <dcterms:modified xsi:type="dcterms:W3CDTF">2020-04-06T07:34:00Z</dcterms:modified>
</cp:coreProperties>
</file>